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26258-2020 i Boxholms kommun</w:t>
      </w:r>
    </w:p>
    <w:p>
      <w:r>
        <w:t>Detta dokument behandlar höga naturvärden i avverkningsanmälan A 26258-2020 i Boxholms kommun. Denna avverkningsanmälan inkom 2020-06-04 och omfattar 10,1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läderbagge (VU, §4a), gammelekslav (NT), gul dropplav (NT), hjälmbrosklav (NT), oxtungssvamp (NT), rosa skärelav (NT), rödbrun blekspik (NT), skuggorangelav (NT), brun nållav (S), gulpudrad spiklav (S) och kornig nållav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0392"/>
            <wp:docPr id="1" name="Picture 1"/>
            <wp:cNvGraphicFramePr>
              <a:graphicFrameLocks noChangeAspect="1"/>
            </wp:cNvGraphicFramePr>
            <a:graphic>
              <a:graphicData uri="http://schemas.openxmlformats.org/drawingml/2006/picture">
                <pic:pic>
                  <pic:nvPicPr>
                    <pic:cNvPr id="0" name="A 26258-2020 karta.png"/>
                    <pic:cNvPicPr/>
                  </pic:nvPicPr>
                  <pic:blipFill>
                    <a:blip r:embed="rId16"/>
                    <a:stretch>
                      <a:fillRect/>
                    </a:stretch>
                  </pic:blipFill>
                  <pic:spPr>
                    <a:xfrm>
                      <a:off x="0" y="0"/>
                      <a:ext cx="5486400" cy="4400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6447336, E 502618 i SWEREF 99 TM.</w:t>
      </w:r>
    </w:p>
    <w:p>
      <w:r>
        <w:rPr>
          <w:b/>
        </w:rPr>
        <w:t xml:space="preserve">Gammelekslav (NT) </w:t>
      </w:r>
      <w:r>
        <w:t>är en mycket exklusiv lav som</w:t>
      </w:r>
      <w:r>
        <w:rPr>
          <w:b/>
        </w:rPr>
        <w:t xml:space="preserve"> </w:t>
      </w:r>
      <w:r>
        <w:t>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pPr>
        <w:pStyle w:val="Heading1"/>
      </w:pPr>
      <w:r>
        <w:t>Fridlysta arter</w:t>
      </w:r>
    </w:p>
    <w:p>
      <w:r>
        <w:t>Följande fridlysta arter har sina livsmiljöer och växtplatser i den avverkningsanmälda skogen: läderbagge (VU, §4a).</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