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43468-2025 i Boxholms kommun</w:t>
      </w:r>
    </w:p>
    <w:p>
      <w:r>
        <w:t>Detta klagomål behandlar höga naturvärden i avverkningsanmälan A 43468-2025 i Boxholms kommun som inkom 2025-09-11 och omfattar 3,0 ha.</w:t>
      </w:r>
    </w:p>
    <w:p>
      <w:pPr>
        <w:pStyle w:val="Caption"/>
      </w:pPr>
      <w:r>
        <w:drawing>
          <wp:inline xmlns:a="http://schemas.openxmlformats.org/drawingml/2006/main" xmlns:pic="http://schemas.openxmlformats.org/drawingml/2006/picture">
            <wp:extent cx="5486400" cy="4323158"/>
            <wp:docPr id="1" name="Picture 1"/>
            <wp:cNvGraphicFramePr>
              <a:graphicFrameLocks noChangeAspect="1"/>
            </wp:cNvGraphicFramePr>
            <a:graphic>
              <a:graphicData uri="http://schemas.openxmlformats.org/drawingml/2006/picture">
                <pic:pic>
                  <pic:nvPicPr>
                    <pic:cNvPr id="0" name="A 43468-2025 karta.png"/>
                    <pic:cNvPicPr/>
                  </pic:nvPicPr>
                  <pic:blipFill>
                    <a:blip r:embed="rId16"/>
                    <a:stretch>
                      <a:fillRect/>
                    </a:stretch>
                  </pic:blipFill>
                  <pic:spPr>
                    <a:xfrm>
                      <a:off x="0" y="0"/>
                      <a:ext cx="5486400" cy="4323158"/>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6426989, E 519363 i SWEREF 99 TM.</w:t>
      </w:r>
    </w:p>
    <w:p>
      <w:r>
        <w:t>I och inom 17 meter från avverkningsanmälan finns fynd av 25 naturvårdsarter, varav 10 är rödlistade, 15 är typiska (T) och 15 är signalarter (S): skogsalm (EN), blek kraterlav (VU), klosterlav (VU), Amphicyllis globiformis (NT), kandelabersvamp (NT, T), korthornad ögonbagge (NT), parknål (NT), rosa skärelav (NT, T), rödhalsad vedsvampbagge (NT), vedtrappmossa (NT, T), blåsfliksmossa (S, T), fällmossa (S, T), grov fjädermossa (S, T), klippfrullania (S, T), kornig nållav (S, T), noshornsoxe (S), slanklav (S, T), sotlav (S, T), stekelbock (S, T), traslav (S), trubbfjädermossa (S, T), trädporella (S, T), underviol (S, T), vanlig flatbagge (S, T) och västlig hakmossa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Blek kraterlav (VU)</w:t>
      </w:r>
      <w:r>
        <w:t xml:space="preserve"> växer på grova ädellövträd (till mer än 80% på ask och alm men någon gång på ek och lönn) i gamla skogar, öppna lövängar, alléer och kyrkogårdar. Arten förekommer på lokaler med lång trädkontinuitet, ofta tillsammans med den rödlistade almlaven (SLU Artdatabanken, 2024).</w:t>
      </w:r>
    </w:p>
    <w:p>
      <w:r>
        <w:rPr>
          <w:b/>
        </w:rPr>
        <w:t>Klosterlav (VU)</w:t>
      </w:r>
      <w:r>
        <w:t xml:space="preserve"> växer på grov bark på stammar av framför allt ädellövträd som ask, bok, alm, lönn och lind, men fynd finns även på fläder och knäckepil. Klosterlaven finns både i sluten skog och i halvöppna till öppna miljöer, bl.a. på hamlade träd (solitära eller i löväng), i blandad ädellövskog och i ren bokskog. Arten förekommer vanligen vid basen av träden, men kan växa på upp till två meters höjd. På ljusa lokaler växer laven i sprickor på trädens skuggsida. Lokalerna har lång kontinuitet på gamla träd, hög luftfuktighet och andra rödlistade lavar förekommer ofta tillsammans med klosterlaven. Klosterlaven gynnas av att man sparar skog med lång kontinuitet, gamla vårdträd och lövängar. Alltför snabbt upptagande av hävden av lövängar kan innebära att laven skadas av den snabba förändringen till ett ljusare och torrare lokalklimat (SLU Artdatabanken, 2024).</w:t>
      </w:r>
    </w:p>
    <w:p>
      <w:r>
        <w:rPr>
          <w:b/>
          <w:i/>
        </w:rPr>
        <w:t>Amphicyllis globiformis</w:t>
      </w:r>
      <w:r>
        <w:rPr>
          <w:b/>
        </w:rPr>
        <w:t xml:space="preserve"> (NT)</w:t>
      </w:r>
      <w:r>
        <w:t xml:space="preserve"> är en mycelbagge vars larvutveckling förmodligen är knuten till slemsvampar växande i svampig förna och på död ved, kanske främst i gamla bokskogar. Den påträffas därför främst i gamla naturskogar. Denna skogstyp är minskande i Sydsverige och arten blir därför sällsyntare. Tillvaratagande av huggningsavfall från avverkningar kan även i framtiden visa sig minska artens möjlighet att finna rötade grenar nere i förnan. Man bör spara mera naturskogsartad lövskog i Sydsverige. Främst gäller det gamla bokskogar (SLU Artdatabanken, 2026).</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 xml:space="preserve">Korthornad ögonbagge (NT) </w:t>
      </w:r>
      <w:r>
        <w:t>är en skalbagge vars larvutveckling sker i fruktkroppar av resupinata tickor på lövträd, ofta under lös bark på liggande, döda aspar, men även på brandskadade rönnar och andra lövträd. Arten påverkas negativt av brist på grova eller gamla träd och en minskning av populationen pågår eller förväntas ske. Minskningen avser kvalitén på artens habitat och antalet lokalområden (SLU Artdatabanken, 2025).</w:t>
      </w:r>
    </w:p>
    <w:p>
      <w:r>
        <w:rPr>
          <w:b/>
        </w:rPr>
        <w:t xml:space="preserve">Parknål (NT) </w:t>
      </w:r>
      <w:r>
        <w:t>växer söder om Dalälven på gamla ädellövträd och i norra Sverige på mycket gamla sälgar i skogar med hög och jämn luftfuktighet. Ofta förekommer den tillsammans med andra rödlistade knappnålslavar. Lämpliga träd nyskapas i begränsad omfattning. Spara grova träd, restaurera hag- och slåttermarker och öppna runt grova ekar som nu är kraftigt beskuggade. Förekomsterna i norra Sverige måste skyddas (SLU Artdatabanken, 2025).</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 xml:space="preserve">Rödhalsad vedsvampbagge (NT) </w:t>
      </w:r>
      <w:r>
        <w:t>är en skalbagge vars larvutveckling sker i ganska lös, vitrötad svampig ved, mer sällan i fruktkroppar av vedsvampar. Främst på asp men även i gran angripen av violticka samt på tall, björk, al, hassel och ek. Arten är knuten till äldre skog med god tillgång på ved i torrträd och högstubbar och missgynnas främst av bristen på död, vitrötad ved i skogen (SLU Artdatabanken, 2025).</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Blåsfliksmossa </w:t>
      </w:r>
      <w:r>
        <w:t xml:space="preserve">växer i skuggiga och fuktiga miljöer på klippor och stenar av såväl grönsten som silikat, till exempel intill naturliga skogsbäckar, i raviner och bergbranter. Den signalerar höga naturvärden främst i östra och norra Sverige och indikerar miljöer med jämn och hög luftfuktighet och ett basiskt underlag. Artens lokaler har ofta hög artrikedom. Blåsfliksmossa är typisk art för </w:t>
      </w:r>
      <w:r>
        <w:rPr>
          <w:i/>
        </w:rPr>
        <w:t>9080 Lövsumpskog</w:t>
      </w:r>
      <w:r>
        <w:t xml:space="preserve"> (SLU Artdatabanken, 2025;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Grov fjädermossa </w:t>
      </w:r>
      <w:r>
        <w:t xml:space="preserve">påträffas i gammal ädellövskog och på kalkrika bergväggar i äldre barrskog. Arten är placerad högst upp i Skogsstyrelsens värdepyramid för bedömning av skog med höga naturvärden och visar på lokaler som haft lång trädkontinuitet och stabilt mikroklimat. Grov fjädermossa är typisk art för </w:t>
      </w:r>
      <w:r>
        <w:rPr>
          <w:i/>
        </w:rPr>
        <w:t>9020 Nordlig ädellövskog, 9110 Näringsfattig bokskog, 9130 Näringsrik bokskog, 9160 Näringsrik ekskog, 9180 Ädellövskog i branter</w:t>
      </w:r>
      <w:r>
        <w:t xml:space="preserve"> och </w:t>
      </w:r>
      <w:r>
        <w:rPr>
          <w:i/>
        </w:rPr>
        <w:t>9190 Näringsfattig ekskog</w:t>
      </w:r>
      <w:r>
        <w:t xml:space="preserve"> (Nitare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Slanklav</w:t>
      </w:r>
      <w:r>
        <w:t xml:space="preserve"> är typisk art för </w:t>
      </w:r>
      <w:r>
        <w:rPr>
          <w:i/>
        </w:rPr>
        <w:t xml:space="preserve">9020 Nordlig ädellövskog, 9180 Ädellövskog i branter, 9070 Trädklädd betesmark </w:t>
      </w:r>
      <w:r>
        <w:t xml:space="preserve">och </w:t>
      </w:r>
      <w:r>
        <w:rPr>
          <w:i/>
        </w:rPr>
        <w:t xml:space="preserve">8230 Hällmarkstorräng </w:t>
      </w:r>
      <w:r>
        <w:t>(SLU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Stekelbock</w:t>
      </w:r>
      <w:r>
        <w:t xml:space="preserve"> är knuten till äldre och gärna glesa lövskogar, och gynnas starkt av skogsbrand. Skalbaggens larvutveckling sker i ganska hård, solexponerad död ved i stående stammar av lövträd, främst björk, asp och al. Fullbildade individer påträffas i juni-augusti på lämplig ved eller i blommor av t.ex. strätta, fläder eller älggräs. Stekelbock är typisk art för </w:t>
      </w:r>
      <w:r>
        <w:rPr>
          <w:i/>
        </w:rPr>
        <w:t xml:space="preserve">9010 Taiga </w:t>
      </w:r>
      <w:r>
        <w:t>(SLU Artdatabanken, 2025).</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Vanlig flatbagge</w:t>
      </w:r>
      <w:r>
        <w:t xml:space="preserve"> är en skalbagge vars larvutveckling sker i brunrötad ved av tall och gran, i mindre omfattning lövträd som al, asp och björk. Främst i lågor med klibbticka, timmerticka eller citronticka. Vanlig flatbagge är typisk art för </w:t>
      </w:r>
      <w:r>
        <w:rPr>
          <w:i/>
        </w:rPr>
        <w:t xml:space="preserve">9060 Åsbarrskog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25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25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