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43468-2025 i Boxholms kommun</w:t>
      </w:r>
    </w:p>
    <w:p>
      <w:r>
        <w:t>Detta dokument behandlar höga naturvärden i avverkningsanmälan A 43468-2025 i Boxholms kommun. Denna avverkningsanmälan inkom 2025-09-11 11:24:17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21 naturvårdsarter hittats: skogsalm (CR), blek kraterlav (VU), klosterlav (VU), Amphicyllis globiformis (NT), kandelabersvamp (NT), korthornad ögonbagge (NT), parknål (NT), rosa skärelav (NT), rödhalsad vedsvampbagge (NT), vedtrappmossa (NT), fällmossa (S), klippfrullania (S), kornig nållav (S), noshornsoxe (S), sotlav (S), traslav (S), trubbfjädermossa (S), trädporella (S), underviol (S), vanlig flatbagge (S) och västlig hakmossa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43468-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6426989, E 519363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Korthornad ögonbagge (NT) </w:t>
      </w:r>
      <w:r>
        <w:t>är en skalbagge vars larvutveckling sker i fruktkroppar av resupinata tickor på lövträd, ofta under lös bark på liggande, döda aspar, men även på brandskadade rönnar och andra lövträd. Arten påverkas negativt av brist på grova eller gamla träd och en minskning av populationen pågår eller förväntas ske. Minskningen avser kvalitén på artens habitat och antalet lokalområden (SLU Artdatabanken, 2025).</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