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35665-2024 i Boxholms kommun</w:t>
      </w:r>
    </w:p>
    <w:p>
      <w:r>
        <w:t>Denna tillsynsbegäran behandlar höga naturvärden i avverkningsanmälan A 35665-2024 i Boxholms kommun som inkom 2024-08-28 och omfattar 1,8 ha.</w:t>
      </w:r>
    </w:p>
    <w:p>
      <w:pPr>
        <w:pStyle w:val="Caption"/>
      </w:pPr>
      <w:r>
        <w:drawing>
          <wp:inline xmlns:a="http://schemas.openxmlformats.org/drawingml/2006/main" xmlns:pic="http://schemas.openxmlformats.org/drawingml/2006/picture">
            <wp:extent cx="5486400" cy="5133577"/>
            <wp:docPr id="1" name="Picture 1"/>
            <wp:cNvGraphicFramePr>
              <a:graphicFrameLocks noChangeAspect="1"/>
            </wp:cNvGraphicFramePr>
            <a:graphic>
              <a:graphicData uri="http://schemas.openxmlformats.org/drawingml/2006/picture">
                <pic:pic>
                  <pic:nvPicPr>
                    <pic:cNvPr id="0" name="A 35665-2024 karta.png"/>
                    <pic:cNvPicPr/>
                  </pic:nvPicPr>
                  <pic:blipFill>
                    <a:blip r:embed="rId16"/>
                    <a:stretch>
                      <a:fillRect/>
                    </a:stretch>
                  </pic:blipFill>
                  <pic:spPr>
                    <a:xfrm>
                      <a:off x="0" y="0"/>
                      <a:ext cx="5486400" cy="513357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6461449, E 498754 i SWEREF 99 TM.</w:t>
      </w:r>
    </w:p>
    <w:p>
      <w:r>
        <w:t>I avverkningsanmälan finns fynd av 3 naturvårdsarter, varav 3 är typiska (T) och 3 är signalarter (S): hässleklocka (S, T), svart trolldruva (S, T) och underviol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Hässleklocka </w:t>
      </w:r>
      <w:r>
        <w:t xml:space="preserve">är typisk art för </w:t>
      </w:r>
      <w:r>
        <w:rPr>
          <w:i/>
        </w:rPr>
        <w:t xml:space="preserve">9020 Nordlig ädellövskog </w:t>
      </w:r>
      <w:r>
        <w:t xml:space="preserve">och </w:t>
      </w:r>
      <w:r>
        <w:rPr>
          <w:i/>
        </w:rPr>
        <w:t xml:space="preserve">9180 Ädellövskog i branter </w:t>
      </w:r>
      <w:r>
        <w:t>(SLU Artdatabanken, 2025).</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r>
        <w:rPr>
          <w:b/>
        </w:rPr>
        <w:t xml:space="preserve">Underviol </w:t>
      </w:r>
      <w:r>
        <w:t xml:space="preserve">är en bra signalart i hela sitt utbredningsområde i såväl lövlundar som kalkbarrskogar. Arten är särskilt intressant när den förekommer i barrskog och indikerar då troligen relikta och hotade kalkbarrskogsekosystem. Underviol tål inte dagens storskaliga skogsbruksmetoder även om den vid enstaka tillfällen lyckas kvarstå i fuktdråg efter avverkning. Underviol är typisk art för </w:t>
      </w:r>
      <w:r>
        <w:rPr>
          <w:i/>
        </w:rPr>
        <w:t xml:space="preserve">9050 Näringsrik granskog, 9020 Nordlig ädellövskog </w:t>
      </w:r>
      <w:r>
        <w:t xml:space="preserve">och </w:t>
      </w:r>
      <w:r>
        <w:rPr>
          <w:i/>
        </w:rPr>
        <w:t>9160 Näringsrik ekskog</w:t>
      </w:r>
      <w:r>
        <w:t xml:space="preserve"> (Nitare &amp; Skogsstyrelsen, 2019;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