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6405-2022 i Boxholms kommun</w:t>
      </w:r>
    </w:p>
    <w:p>
      <w:r>
        <w:t>Denna tillsynsbegäran behandlar höga naturvärden i samrådsanmälan S 6405-2022 i Boxholms kommun som inkom 2022-11-10 och omfattar 202,4 ha.</w:t>
      </w:r>
    </w:p>
    <w:p>
      <w:pPr>
        <w:pStyle w:val="Caption"/>
      </w:pPr>
      <w:r>
        <w:drawing>
          <wp:inline xmlns:a="http://schemas.openxmlformats.org/drawingml/2006/main" xmlns:pic="http://schemas.openxmlformats.org/drawingml/2006/picture">
            <wp:extent cx="5486400" cy="3240935"/>
            <wp:docPr id="1" name="Picture 1"/>
            <wp:cNvGraphicFramePr>
              <a:graphicFrameLocks noChangeAspect="1"/>
            </wp:cNvGraphicFramePr>
            <a:graphic>
              <a:graphicData uri="http://schemas.openxmlformats.org/drawingml/2006/picture">
                <pic:pic>
                  <pic:nvPicPr>
                    <pic:cNvPr id="0" name="S 6405-2022 karta.png"/>
                    <pic:cNvPicPr/>
                  </pic:nvPicPr>
                  <pic:blipFill>
                    <a:blip r:embed="rId16"/>
                    <a:stretch>
                      <a:fillRect/>
                    </a:stretch>
                  </pic:blipFill>
                  <pic:spPr>
                    <a:xfrm>
                      <a:off x="0" y="0"/>
                      <a:ext cx="5486400" cy="324093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6444588, E 494410 i SWEREF 99 TM.</w:t>
      </w:r>
    </w:p>
    <w:p>
      <w:r>
        <w:t>I och inom 25 meter från samrådsanmälan finns fynd av 30 naturvårdsarter, varav 14 är rödlistade, 24 är fridlysta, 6 är typiska (T) och 4 är signalarter (S): grönfink (VU, §4), knärot (VU, T, §8), björktrast (NT, §4), duvhök (NT, §4), entita (NT, T, §4), grönsångare (NT, §4), gulsparv (NT, §4), göktyta (NT, §4), ladusvala (NT, §4), rödvingetrast (NT, §4), skogshare (NT), staketflarnlav (NT), sädesärla (NT, §4), talltita (NT, §4), blodvaxing (S), myskmadra (S, T), sotlav (S, T), sprödvaxing (S), blåsippa (T, §9), spillkråka (T, §4), fiskgjuse (§4), gröngöling (§4), grönsiska (§4), kråka (§4), kungsfågel (§4), orre (§4), svartvit flugsnappare (§4), skogsödla (§6),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2603683"/>
            <wp:docPr id="2" name="Picture 2"/>
            <wp:cNvGraphicFramePr>
              <a:graphicFrameLocks noChangeAspect="1"/>
            </wp:cNvGraphicFramePr>
            <a:graphic>
              <a:graphicData uri="http://schemas.openxmlformats.org/drawingml/2006/picture">
                <pic:pic>
                  <pic:nvPicPr>
                    <pic:cNvPr id="0" name="S 6405-2022 karta knärot.png"/>
                    <pic:cNvPicPr/>
                  </pic:nvPicPr>
                  <pic:blipFill>
                    <a:blip r:embed="rId17"/>
                    <a:stretch>
                      <a:fillRect/>
                    </a:stretch>
                  </pic:blipFill>
                  <pic:spPr>
                    <a:xfrm>
                      <a:off x="0" y="0"/>
                      <a:ext cx="5486400" cy="260368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6444588, E 494410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Staketflarnlav (NT)</w:t>
      </w:r>
      <w:r>
        <w:t xml:space="preserve"> växer på ved, huvudsakligen på gamla timmerbyggnader, brädlador, staketstolpar, uppställt hässjevirke, gärdesgårdar och liknande ”kulturved”. Men den förekommer även på naturlig tallved, t.ex. på ved på grova döda grenar på gamla tallar och på talltorrakor i naturskogsartad tallskog. Naturskogsartad tallskog med stor förekomst av död ved, som torrakor och gamla tallar med grova döda grenar, bör undantas från skogsbruk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entita (NT, T, §4), myskmadra (S, T), sotlav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