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38893-2026 i Boxholms kommun</w:t>
      </w:r>
    </w:p>
    <w:p>
      <w:r>
        <w:t>Denna tillsynsbegäran behandlar höga naturvärden i avverkningsanmälan A 38893-2026 i Boxholms kommun som inkom 2026-09-21 och omfattar 3,8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38893-2026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6434697, E 510238 i SWEREF 99 TM.</w:t>
      </w:r>
    </w:p>
    <w:p>
      <w:r>
        <w:t>I och inom 17 meter från avverkningsanmälan finns fynd av 7 naturvårdsarter, varav 3 är rödlistade, 4 är fridlysta, 3 är typiska (T) och 2 är signalarter (S): brunlångöra (NT, §4a), kandelabersvamp (NT, T), nordfladdermus (NT, §4a), blåsfliksmossa (S, T), guldlockmossa (S, T),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