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57570-2023 i Boxholms kommun</w:t>
      </w:r>
    </w:p>
    <w:p>
      <w:r>
        <w:t>Detta klagomål behandlar höga naturvärden i avverkningsanmälan A 57570-2023 i Boxholms kommun som inkom 2023-11-16 och omfattar 1,5 ha.</w:t>
      </w:r>
    </w:p>
    <w:p>
      <w:pPr>
        <w:pStyle w:val="Caption"/>
      </w:pPr>
      <w:r>
        <w:drawing>
          <wp:inline xmlns:a="http://schemas.openxmlformats.org/drawingml/2006/main" xmlns:pic="http://schemas.openxmlformats.org/drawingml/2006/picture">
            <wp:extent cx="5486400" cy="5012692"/>
            <wp:docPr id="1" name="Picture 1"/>
            <wp:cNvGraphicFramePr>
              <a:graphicFrameLocks noChangeAspect="1"/>
            </wp:cNvGraphicFramePr>
            <a:graphic>
              <a:graphicData uri="http://schemas.openxmlformats.org/drawingml/2006/picture">
                <pic:pic>
                  <pic:nvPicPr>
                    <pic:cNvPr id="0" name="A 57570-2023 karta.png"/>
                    <pic:cNvPicPr/>
                  </pic:nvPicPr>
                  <pic:blipFill>
                    <a:blip r:embed="rId16"/>
                    <a:stretch>
                      <a:fillRect/>
                    </a:stretch>
                  </pic:blipFill>
                  <pic:spPr>
                    <a:xfrm>
                      <a:off x="0" y="0"/>
                      <a:ext cx="5486400" cy="5012692"/>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6447473, E 503341 i SWEREF 99 TM.</w:t>
      </w:r>
    </w:p>
    <w:p>
      <w:r>
        <w:t>Inom 15 meter från avverkningsanmälan finns fynd av 1 naturvårdsarter, varav 1 är rödlistad, 1 är fridlyst och 1 är typisk (T): nötkråka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Nötkråka (NT, §4)</w:t>
      </w:r>
      <w:r>
        <w:t xml:space="preserve"> är uppdelad på de två underarterna tjocknäbbad nötkråka (NT) som häckar i mossrik granskog med närbelägna hasselbestånd i södra och mellersta Sverige samt smalnäbbad nötkråka som är specialiserad på sibirisk cembratall i norra Sverige. Minskningstakten, som framför allt rör den tjocknäbbade nötkråkan (NT), har uppgått till 25 (10–40) % under de senaste 15 åren och bedöms vara nära gränsvärdet för sårbar (VU). Minskningen avser förekomstarea, kvalitén på artens habitat (minskad förekomst av hassel och försämrade häckningsmiljöer i barrskog) och antalet reproduktiva individer. Reviren har en storlek på 12–15 hektar och den häckar i mossrik äldre granskog med närbelägna hasselbestånd inom 5–6 km avstånd från häckningsområdet.</w:t>
      </w:r>
    </w:p>
    <w:p>
      <w:r>
        <w:t xml:space="preserve">Avverkning, gallring och röjning av såväl granskog i häckningsreviret som hassel i födosöksområdena missgynnar nötkråkan kraftigt och det kan ta åtskilliga decennier innan skogen åter blir lämplig för häckning. För att säkerställa existensen för den tjocknäbbade nötkråkan bör de förekomster av hassel, som nu visat sig tillräckliga för nötkråkan, bevaras. Hasselbuskar bör inte huggas ned i hagmarker eller intill åkrar där nötkråkor födosöker, eftersom dessa fristående buskar ger betydligt mer nötter än hasselbuskar som står i skog. Likaså är bevarande av nuvarande karaktär hos sådan granskog, som nu genom angränsande hasselförekomst visat sig kunna hysa en nötkråkestam, nödvändig. Nötkråka är typisk art för </w:t>
      </w:r>
      <w:r>
        <w:rPr>
          <w:i/>
        </w:rPr>
        <w:t>9010 Taiga</w:t>
      </w:r>
      <w:r>
        <w:t xml:space="preserve">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