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21664-2025 i Åtvidabergs kommun</w:t>
      </w:r>
    </w:p>
    <w:p>
      <w:r>
        <w:t>Detta klagomål behandlar höga naturvärden i avverkningsanmälan A 21664-2025 i Åtvidabergs kommun som inkom 2025-05-06 och omfattar 1,9 ha.</w:t>
      </w:r>
    </w:p>
    <w:p>
      <w:pPr>
        <w:pStyle w:val="Caption"/>
      </w:pPr>
      <w:r>
        <w:drawing>
          <wp:inline xmlns:a="http://schemas.openxmlformats.org/drawingml/2006/main" xmlns:pic="http://schemas.openxmlformats.org/drawingml/2006/picture">
            <wp:extent cx="5486400" cy="4990550"/>
            <wp:docPr id="1" name="Picture 1"/>
            <wp:cNvGraphicFramePr>
              <a:graphicFrameLocks noChangeAspect="1"/>
            </wp:cNvGraphicFramePr>
            <a:graphic>
              <a:graphicData uri="http://schemas.openxmlformats.org/drawingml/2006/picture">
                <pic:pic>
                  <pic:nvPicPr>
                    <pic:cNvPr id="0" name="A 21664-2025 karta.png"/>
                    <pic:cNvPicPr/>
                  </pic:nvPicPr>
                  <pic:blipFill>
                    <a:blip r:embed="rId16"/>
                    <a:stretch>
                      <a:fillRect/>
                    </a:stretch>
                  </pic:blipFill>
                  <pic:spPr>
                    <a:xfrm>
                      <a:off x="0" y="0"/>
                      <a:ext cx="5486400" cy="499055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6447802, E 573936 i SWEREF 99 TM.</w:t>
      </w:r>
    </w:p>
    <w:p>
      <w:r>
        <w:t>I och inom 13 meter från avverkningsanmälan finns fynd av 8 naturvårdsarter, varav 1 är rödlistad, 5 är fridlysta, 4 är typiska (T) och 4 är signalarter (S): kricka (NT, §4), dvärghäxört (S, T), grönpyrola (S, T), korallrot (S, T, §8), stor aspticka (S, T), sångsvan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