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33570-2023 i Åtvidabergs kommun</w:t>
      </w:r>
    </w:p>
    <w:p>
      <w:r>
        <w:t>Detta klagomål behandlar höga naturvärden i avverkningsanmälan A 33570-2023 i Åtvidabergs kommun som inkom 2023-07-24 och omfattar 10,6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33570-2023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6461245, E 550646 i SWEREF 99 TM.</w:t>
      </w:r>
    </w:p>
    <w:p>
      <w:r>
        <w:t>I avverkningsanmälan finns fynd av 2 naturvårdsarter, varav 2 är rödlistade och 1 är fridlyst: Hypebaeus flavipes (VU) och läderbagge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Hypebaeus flavipes </w:t>
      </w:r>
      <w:r>
        <w:rPr>
          <w:b/>
        </w:rPr>
        <w:t>(VU)</w:t>
      </w:r>
      <w:r>
        <w:t xml:space="preserve"> är en skalbagge vars larvutveckling sker i gångar av andra insekter i död ved av lövträd, främst ek och bok. De flesta fynden är gjorda på gamla ekar i öppna hagmarker. Arten påverkas negativt av brist på död ved och en minskning av populationen pågår eller förväntas ske. Minskningen avser kvalitén på artens habitat (SLU Artdatabanken, 2025).</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