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37222-2023 i Åtvidabergs kommun</w:t>
      </w:r>
    </w:p>
    <w:p>
      <w:r>
        <w:t>Detta klagomål behandlar höga naturvärden i avverkningsanmälan A 37222-2023 i Åtvidabergs kommun som inkom 2023-08-17 och omfattar 0,3 ha.</w:t>
      </w:r>
    </w:p>
    <w:p>
      <w:pPr>
        <w:pStyle w:val="Caption"/>
      </w:pPr>
      <w:r>
        <w:drawing>
          <wp:inline xmlns:a="http://schemas.openxmlformats.org/drawingml/2006/main" xmlns:pic="http://schemas.openxmlformats.org/drawingml/2006/picture">
            <wp:extent cx="5197142" cy="5724000"/>
            <wp:docPr id="1" name="Picture 1"/>
            <wp:cNvGraphicFramePr>
              <a:graphicFrameLocks noChangeAspect="1"/>
            </wp:cNvGraphicFramePr>
            <a:graphic>
              <a:graphicData uri="http://schemas.openxmlformats.org/drawingml/2006/picture">
                <pic:pic>
                  <pic:nvPicPr>
                    <pic:cNvPr id="0" name="A 37222-2023 karta.png"/>
                    <pic:cNvPicPr/>
                  </pic:nvPicPr>
                  <pic:blipFill>
                    <a:blip r:embed="rId16"/>
                    <a:stretch>
                      <a:fillRect/>
                    </a:stretch>
                  </pic:blipFill>
                  <pic:spPr>
                    <a:xfrm>
                      <a:off x="0" y="0"/>
                      <a:ext cx="519714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6464943, E 562507 i SWEREF 99 TM.</w:t>
      </w:r>
    </w:p>
    <w:p>
      <w:r>
        <w:t>I och inom 22 meter från avverkningsanmälan finns fynd av 14 naturvårdsarter, varav 10 är rödlistade, 6 är fridlysta, 11 är typiska (T) och 2 är signalarter (S): brandtaggsvamp (EN), garnlav (VU, T), knärot (VU, T, §8), dammfladdermus (NT, §4a), mindre hackspett (NT, T, §4), orange taggsvamp (NT, T), tallticka (NT, T), talltita (NT, §4), ullticka (NT, T), vedskivlav (NT, T), bronshjon (S, T), rävticka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Brandtaggsvamp (EN) </w:t>
      </w:r>
      <w:r>
        <w:t>är en sällsynt och starkt hotad svamp som bildar mykorrhiza med gran i äldre barrskogar med lång kontinuitet, främst på kalkrik eller annan basiskt påverkad mark. Arten är placerad högst upp i Skogsstyrelsens värdepyramid för bedömning av skog med höga naturvärden och hotas främst av avverkning av kalkpåverkad barrskog. Den tål inte en slutavverkning utan kräver ett kontinuerligt äldre trädskikt med gran. Kalkpåverkade barrskogar med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5795599"/>
            <wp:docPr id="2" name="Picture 2"/>
            <wp:cNvGraphicFramePr>
              <a:graphicFrameLocks noChangeAspect="1"/>
            </wp:cNvGraphicFramePr>
            <a:graphic>
              <a:graphicData uri="http://schemas.openxmlformats.org/drawingml/2006/picture">
                <pic:pic>
                  <pic:nvPicPr>
                    <pic:cNvPr id="0" name="A 37222-2023 karta knärot.png"/>
                    <pic:cNvPicPr/>
                  </pic:nvPicPr>
                  <pic:blipFill>
                    <a:blip r:embed="rId17"/>
                    <a:stretch>
                      <a:fillRect/>
                    </a:stretch>
                  </pic:blipFill>
                  <pic:spPr>
                    <a:xfrm>
                      <a:off x="0" y="0"/>
                      <a:ext cx="5486400" cy="57955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6464943, E 562507 i SWEREF 99 TM.</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Rävticka</w:t>
      </w:r>
      <w:r>
        <w:t xml:space="preserve"> är typisk art för </w:t>
      </w:r>
      <w:r>
        <w:rPr>
          <w:i/>
        </w:rPr>
        <w:t xml:space="preserve">9010 Taiga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