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37653-2026 i Åtvidabergs kommun</w:t>
      </w:r>
    </w:p>
    <w:p>
      <w:r>
        <w:t>Denna tillsynsbegäran behandlar höga naturvärden i avverkningsanmälan A 37653-2026 i Åtvidabergs kommun som inkom 2026-09-11 och omfattar 2,9 ha.</w:t>
      </w:r>
    </w:p>
    <w:p>
      <w:pPr>
        <w:pStyle w:val="Caption"/>
      </w:pPr>
      <w:r>
        <w:drawing>
          <wp:inline xmlns:a="http://schemas.openxmlformats.org/drawingml/2006/main" xmlns:pic="http://schemas.openxmlformats.org/drawingml/2006/picture">
            <wp:extent cx="5486400" cy="4449452"/>
            <wp:docPr id="1" name="Picture 1"/>
            <wp:cNvGraphicFramePr>
              <a:graphicFrameLocks noChangeAspect="1"/>
            </wp:cNvGraphicFramePr>
            <a:graphic>
              <a:graphicData uri="http://schemas.openxmlformats.org/drawingml/2006/picture">
                <pic:pic>
                  <pic:nvPicPr>
                    <pic:cNvPr id="0" name="A 37653-2026 karta.png"/>
                    <pic:cNvPicPr/>
                  </pic:nvPicPr>
                  <pic:blipFill>
                    <a:blip r:embed="rId16"/>
                    <a:stretch>
                      <a:fillRect/>
                    </a:stretch>
                  </pic:blipFill>
                  <pic:spPr>
                    <a:xfrm>
                      <a:off x="0" y="0"/>
                      <a:ext cx="5486400" cy="444945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6453203, E 574463 i SWEREF 99 TM.</w:t>
      </w:r>
    </w:p>
    <w:p>
      <w:r>
        <w:t>I och inom 5 meter från avverkningsanmälan finns fynd av 14 naturvårdsarter, varav 5 är rödlistade, 5 är fridlysta, 9 är typiska (T) och 6 är signalarter (S): knärot (VU, T, §8), dropptaggsvamp (NT, T), tallriska (NT), talltita (NT, §4), vedskivlav (NT, T), björksplintborre (S), blåmossa (S, T), flagellkvastmossa (S, T), grönpyrola (S, T), mindre märgborre (S, T), vågbandad barkbock (S), spillkråka (T, §4), tofsmes (T,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1.62 ha med buffertzonerna och får av detta skäl inte avverkas.</w:t>
      </w:r>
    </w:p>
    <w:p>
      <w:pPr>
        <w:pStyle w:val="Caption"/>
      </w:pPr>
      <w:r>
        <w:drawing>
          <wp:inline xmlns:a="http://schemas.openxmlformats.org/drawingml/2006/main" xmlns:pic="http://schemas.openxmlformats.org/drawingml/2006/picture">
            <wp:extent cx="5486400" cy="4194928"/>
            <wp:docPr id="2" name="Picture 2"/>
            <wp:cNvGraphicFramePr>
              <a:graphicFrameLocks noChangeAspect="1"/>
            </wp:cNvGraphicFramePr>
            <a:graphic>
              <a:graphicData uri="http://schemas.openxmlformats.org/drawingml/2006/picture">
                <pic:pic>
                  <pic:nvPicPr>
                    <pic:cNvPr id="0" name="A 37653-2026 karta knärot.png"/>
                    <pic:cNvPicPr/>
                  </pic:nvPicPr>
                  <pic:blipFill>
                    <a:blip r:embed="rId17"/>
                    <a:stretch>
                      <a:fillRect/>
                    </a:stretch>
                  </pic:blipFill>
                  <pic:spPr>
                    <a:xfrm>
                      <a:off x="0" y="0"/>
                      <a:ext cx="5486400" cy="41949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6453203, E 574463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vedskivlav (NT, T), blåmossa (S, T), flagellkvastmossa (S, T), grönpyrola (S, T), mindre märgborre (S,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