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30193-2026 i Åtvidabergs kommun</w:t>
      </w:r>
    </w:p>
    <w:p>
      <w:r>
        <w:t>Detta klagomål behandlar höga naturvärden i avverkningsanmälan A 30193-2026 i Åtvidabergs kommun som inkom 2026-06-30 och omfattar 7,5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30193-2026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6462226, E 560706 i SWEREF 99 TM.</w:t>
      </w:r>
    </w:p>
    <w:p>
      <w:r>
        <w:t>I och inom 24 meter från avverkningsanmälan finns fynd av 25 naturvårdsarter, varav 14 är rödlistade, 7 är fridlysta, 22 är typiska (T) och 7 är signalarter (S): tallharticka (EN), gränsticka (VU, T), knärot (VU, T, §8), dropptaggsvamp (NT, T), dvärgbägarlav (NT, T), hornvaxskinn (NT), mindre hackspett (NT, T, §4), reliktbock (NT, T), tallticka (NT, T), talltita (NT, §4), ullticka (NT, T), veckticka (NT, T), vedskivlav (NT, T), vedtrappmossa (NT, T), barkticka (S, T), blåmossa (S, T), bronshjon (S, T), grönpyrola (S, T), mindre märgborre (S, T), plattlummer (S, T, §9), vedticka (S, T), spillkråka (T, §4), timmerticka (T),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5394017"/>
            <wp:docPr id="2" name="Picture 2"/>
            <wp:cNvGraphicFramePr>
              <a:graphicFrameLocks noChangeAspect="1"/>
            </wp:cNvGraphicFramePr>
            <a:graphic>
              <a:graphicData uri="http://schemas.openxmlformats.org/drawingml/2006/picture">
                <pic:pic>
                  <pic:nvPicPr>
                    <pic:cNvPr id="0" name="A 30193-2026 karta knärot.png"/>
                    <pic:cNvPicPr/>
                  </pic:nvPicPr>
                  <pic:blipFill>
                    <a:blip r:embed="rId17"/>
                    <a:stretch>
                      <a:fillRect/>
                    </a:stretch>
                  </pic:blipFill>
                  <pic:spPr>
                    <a:xfrm>
                      <a:off x="0" y="0"/>
                      <a:ext cx="5486400" cy="53940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6462226, E 560706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