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182-2025 i Åtvidabergs kommun</w:t>
      </w:r>
    </w:p>
    <w:p>
      <w:r>
        <w:t>Detta klagomål behandlar höga naturvärden i samrådsanmälan S 182-2025 i Åtvidabergs kommun som inkom 2025-01-21 och omfattar 5,2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S 182-2025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6461610, E 550352 i SWEREF 99 TM.</w:t>
      </w:r>
    </w:p>
    <w:p>
      <w:r>
        <w:t>I och inom 25 meter från samrådsanmälan finns fynd av 10 naturvårdsarter, varav 8 är rödlistade, 1 är fridlyst, 6 är typiska (T) och 1 är signalart (S): blekticka (NT, T), gammelekslav (NT, T), gul dropplav (NT), gullpudra (NT, T), hjälmbrosklav (NT), korallticka (NT), mindre hackspett (NT, T, §4), oxtungssvamp (NT), barkticka (S, T) och svavelticka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Svavelticka </w:t>
      </w:r>
      <w:r>
        <w:t xml:space="preserve">påträffas i löv- och blandskog samt hagmark där den växer på döda stampartier och i håligheter på ek. Ibland även på andra lövträd, t.ex. körsbär, oxel, pil och poppel. Svavelticka är typisk art för </w:t>
      </w:r>
      <w:r>
        <w:rPr>
          <w:i/>
        </w:rPr>
        <w:t xml:space="preserve">9020 Nordlig ädellövskog </w:t>
      </w:r>
      <w:r>
        <w:t xml:space="preserve">och ett stort antal sällsynta och rödlistade arter gynnas av den brunrötning som arten ger upphov till. Bland dessa kan nämnas brunoxe (EN), eksvartrock (EN), </w:t>
      </w:r>
      <w:r>
        <w:rPr>
          <w:i/>
        </w:rPr>
        <w:t>Prostomis mandibularis</w:t>
      </w:r>
      <w:r>
        <w:t xml:space="preserve"> (EN), Svart guldbagge (EN), </w:t>
      </w:r>
      <w:r>
        <w:rPr>
          <w:i/>
        </w:rPr>
        <w:t>Cryptophagus fallax</w:t>
      </w:r>
      <w:r>
        <w:t xml:space="preserve"> (VU) och </w:t>
      </w:r>
      <w:r>
        <w:rPr>
          <w:i/>
        </w:rPr>
        <w:t xml:space="preserve">Anitys rubens </w:t>
      </w:r>
      <w:r>
        <w:t xml:space="preserve">(NT). I eller på fruktkroppar av svavelticka kan bl.a. </w:t>
      </w:r>
      <w:r>
        <w:rPr>
          <w:i/>
        </w:rPr>
        <w:t xml:space="preserve">Atheta liturata </w:t>
      </w:r>
      <w:r>
        <w:t>(VU) och ekmulmbagge (NT)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