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30193-2026 i Åtvidabergs kommun</w:t>
      </w:r>
    </w:p>
    <w:p>
      <w:r>
        <w:t>Detta klagomål behandlar höga naturvärden i avverkningsanmälan A 30193-2026 i Åtvidabergs kommun som inkom 2026-06-30 och omfattar 7,5 ha.</w:t>
      </w:r>
    </w:p>
    <w:p>
      <w:pPr>
        <w:pStyle w:val="Caption"/>
      </w:pPr>
      <w:r>
        <w:drawing>
          <wp:inline xmlns:a="http://schemas.openxmlformats.org/drawingml/2006/main" xmlns:pic="http://schemas.openxmlformats.org/drawingml/2006/picture">
            <wp:extent cx="5350736" cy="5724000"/>
            <wp:docPr id="1" name="Picture 1"/>
            <wp:cNvGraphicFramePr>
              <a:graphicFrameLocks noChangeAspect="1"/>
            </wp:cNvGraphicFramePr>
            <a:graphic>
              <a:graphicData uri="http://schemas.openxmlformats.org/drawingml/2006/picture">
                <pic:pic>
                  <pic:nvPicPr>
                    <pic:cNvPr id="0" name="A 30193-2026 karta.png"/>
                    <pic:cNvPicPr/>
                  </pic:nvPicPr>
                  <pic:blipFill>
                    <a:blip r:embed="rId16"/>
                    <a:stretch>
                      <a:fillRect/>
                    </a:stretch>
                  </pic:blipFill>
                  <pic:spPr>
                    <a:xfrm>
                      <a:off x="0" y="0"/>
                      <a:ext cx="5350736" cy="572400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6462226, E 560706 i SWEREF 99 TM.</w:t>
      </w:r>
    </w:p>
    <w:p>
      <w:r>
        <w:t>I och inom 24 meter från avverkningsanmälan finns fynd av 25 naturvårdsarter, varav 14 är rödlistade, 7 är fridlysta, 22 är typiska (T) och 7 är signalarter (S): tallharticka (EN), gränsticka (VU, T), knärot (VU, T, §8), dropptaggsvamp (NT, T), dvärgbägarlav (NT, T), hornvaxskinn (NT), mindre hackspett (NT, T, §4), reliktbock (NT, T), tallticka (NT, T), talltita (NT, §4), ullticka (NT, T), veckticka (NT, T), vedskivlav (NT, T), vedtrappmossa (NT, T), barkticka (S, T), blåmossa (S, T), bronshjon (S, T), grönpyrola (S, T), mindre märgborre (S, T), plattlummer (S, T, §9), vedticka (S, T), spillkråka (T, §4), timmerticka (T), tjäder (T, §4) och tofsmes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Tallharticka (EN)</w:t>
      </w:r>
      <w:r>
        <w:t xml:space="preserve"> är knuten till gamla tallar i solvarma lägen, ofta på rikare mark med inslag av kalk eller grönsten. Den är placerad högst upp i Skogsstyrelsens värdepyramid för bedömning av skog med höga naturvärden och visar på starkt skyddsvärda gamla eller mycket gamla tallbestånd med höga naturvärden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1.74 ha med buffertzonerna och får av detta skäl inte avverkas.</w:t>
      </w:r>
    </w:p>
    <w:p>
      <w:pPr>
        <w:pStyle w:val="Caption"/>
      </w:pPr>
      <w:r>
        <w:drawing>
          <wp:inline xmlns:a="http://schemas.openxmlformats.org/drawingml/2006/main" xmlns:pic="http://schemas.openxmlformats.org/drawingml/2006/picture">
            <wp:extent cx="5486400" cy="5394017"/>
            <wp:docPr id="2" name="Picture 2"/>
            <wp:cNvGraphicFramePr>
              <a:graphicFrameLocks noChangeAspect="1"/>
            </wp:cNvGraphicFramePr>
            <a:graphic>
              <a:graphicData uri="http://schemas.openxmlformats.org/drawingml/2006/picture">
                <pic:pic>
                  <pic:nvPicPr>
                    <pic:cNvPr id="0" name="A 30193-2026 karta knärot.png"/>
                    <pic:cNvPicPr/>
                  </pic:nvPicPr>
                  <pic:blipFill>
                    <a:blip r:embed="rId17"/>
                    <a:stretch>
                      <a:fillRect/>
                    </a:stretch>
                  </pic:blipFill>
                  <pic:spPr>
                    <a:xfrm>
                      <a:off x="0" y="0"/>
                      <a:ext cx="5486400" cy="539401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6462226, E 560706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 xml:space="preserve">Hornvaxskinn (NT) </w:t>
      </w:r>
      <w:r>
        <w:t>påträffas på gamla senvuxna, torra och hårda lågor i gamla naturskogsartade eller plockhuggna tallskogar i norra Sverige. Arten hotas av avverkning av naturskogsartade tallskogar och uttag av torrakor till timring av byggnader. Avverkning av naturskogsliknande tallskogar bör ej förekomma (SLU Artdatabanken, 2024).</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Veckticka är typisk art för </w:t>
      </w:r>
      <w:r>
        <w:rPr>
          <w:i/>
        </w:rPr>
        <w:t xml:space="preserve">9010 Taiga </w:t>
      </w:r>
      <w:r>
        <w:t xml:space="preserve">och </w:t>
      </w:r>
      <w:r>
        <w:rPr>
          <w:i/>
        </w:rPr>
        <w:t>9030 Landhöjningsskog</w:t>
      </w:r>
      <w:r>
        <w:t xml:space="preserve">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Timmerticka</w:t>
      </w:r>
      <w:r>
        <w:t xml:space="preserve"> är typisk art för </w:t>
      </w:r>
      <w:r>
        <w:rPr>
          <w:i/>
        </w:rPr>
        <w:t>9060 Åsbarrskog</w:t>
      </w:r>
      <w:r>
        <w:t>. Bland annat åtgärdsprogramsarten skrovlig flatbagge (NT) samt timmertickgnagare kan påträffas på eller i nära anslutning till fruktkroppar av timmerticka</w:t>
      </w:r>
      <w:r>
        <w:rPr>
          <w:i/>
        </w:rPr>
        <w:t xml:space="preserve"> </w:t>
      </w:r>
      <w:r>
        <w:t>(SLU Artdatabanken, 2026).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Tofsmes (§4)</w:t>
      </w:r>
      <w:r>
        <w:t xml:space="preserve"> häckar i barr- och blandskog, främst i tallskog. Tofsmes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25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