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1662-2026 i Åtvidabergs kommun</w:t>
      </w:r>
    </w:p>
    <w:p>
      <w:r>
        <w:t>Detta klagomål behandlar höga naturvärden i samrådsanmälan S 1662-2026 i Åtvidabergs kommun som inkom 2026-06-08 och omfattar 2,4 ha.</w:t>
      </w:r>
    </w:p>
    <w:p>
      <w:pPr>
        <w:pStyle w:val="Caption"/>
      </w:pPr>
      <w:r>
        <w:drawing>
          <wp:inline xmlns:a="http://schemas.openxmlformats.org/drawingml/2006/main" xmlns:pic="http://schemas.openxmlformats.org/drawingml/2006/picture">
            <wp:extent cx="5486400" cy="4754444"/>
            <wp:docPr id="1" name="Picture 1"/>
            <wp:cNvGraphicFramePr>
              <a:graphicFrameLocks noChangeAspect="1"/>
            </wp:cNvGraphicFramePr>
            <a:graphic>
              <a:graphicData uri="http://schemas.openxmlformats.org/drawingml/2006/picture">
                <pic:pic>
                  <pic:nvPicPr>
                    <pic:cNvPr id="0" name="S 1662-2026 karta.png"/>
                    <pic:cNvPicPr/>
                  </pic:nvPicPr>
                  <pic:blipFill>
                    <a:blip r:embed="rId16"/>
                    <a:stretch>
                      <a:fillRect/>
                    </a:stretch>
                  </pic:blipFill>
                  <pic:spPr>
                    <a:xfrm>
                      <a:off x="0" y="0"/>
                      <a:ext cx="5486400" cy="4754444"/>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6462735, E 572353 i SWEREF 99 TM.</w:t>
      </w:r>
    </w:p>
    <w:p>
      <w:r>
        <w:t>I och inom 22 meter från samrådsanmälan finns fynd av 13 naturvårdsarter, varav 11 är rödlistade, 3 är fridlysta, 10 är typiska (T) och 1 är signalart (S): tallharticka (EN), knärot (VU, T, §8), raggbock (VU, T), dvärgbägarlav (NT, T), hornvaxskinn (NT), kattfotslav (NT, T), reliktbock (NT, T), tallticka (NT, T), talltita (NT, §4), ullticka (NT, T), vedskivlav (NT, T), rävticka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Tallharticka (EN)</w:t>
      </w:r>
      <w:r>
        <w:t xml:space="preserve"> är knuten till gamla tallar i solvarma lägen, ofta på rikare mark med inslag av kalk eller grönsten. Den är placerad högst upp i Skogsstyrelsens värdepyramid för bedömning av skog med höga naturvärden och visar på starkt skyddsvärda gamla eller mycket gamla tallbestånd med höga naturvärden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 fyndplatser för knärot registrerade på Artportalen. Figur 2 visar gränserna för buffertzoner på 50 m, som behöver lämnas kring fyndplatserna för att knärotslokalerna inte ska försvinna vid en avverkning. Av det samrådsanmälda området överlappar 1.48 ha med buffertzonerna och får av detta skäl inte avverkas.</w:t>
      </w:r>
    </w:p>
    <w:p>
      <w:pPr>
        <w:pStyle w:val="Caption"/>
      </w:pPr>
      <w:r>
        <w:drawing>
          <wp:inline xmlns:a="http://schemas.openxmlformats.org/drawingml/2006/main" xmlns:pic="http://schemas.openxmlformats.org/drawingml/2006/picture">
            <wp:extent cx="5486400" cy="5856723"/>
            <wp:docPr id="2" name="Picture 2"/>
            <wp:cNvGraphicFramePr>
              <a:graphicFrameLocks noChangeAspect="1"/>
            </wp:cNvGraphicFramePr>
            <a:graphic>
              <a:graphicData uri="http://schemas.openxmlformats.org/drawingml/2006/picture">
                <pic:pic>
                  <pic:nvPicPr>
                    <pic:cNvPr id="0" name="S 1662-2026 karta knärot.png"/>
                    <pic:cNvPicPr/>
                  </pic:nvPicPr>
                  <pic:blipFill>
                    <a:blip r:embed="rId17"/>
                    <a:stretch>
                      <a:fillRect/>
                    </a:stretch>
                  </pic:blipFill>
                  <pic:spPr>
                    <a:xfrm>
                      <a:off x="0" y="0"/>
                      <a:ext cx="5486400" cy="585672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6462735, E 572353 i SWEREF 99 TM.</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Rävticka</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