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7085-2024 i Åtvidabergs kommun</w:t>
      </w:r>
    </w:p>
    <w:p>
      <w:r>
        <w:t>Denna tillsynsbegäran behandlar höga naturvärden i avverkningsanmälan A 7085-2024 i Åtvidabergs kommun som inkom 2024-02-21 och omfattar 9,5 ha.</w:t>
      </w:r>
    </w:p>
    <w:p>
      <w:pPr>
        <w:pStyle w:val="Caption"/>
      </w:pPr>
      <w:r>
        <w:drawing>
          <wp:inline xmlns:a="http://schemas.openxmlformats.org/drawingml/2006/main" xmlns:pic="http://schemas.openxmlformats.org/drawingml/2006/picture">
            <wp:extent cx="5486400" cy="5458120"/>
            <wp:docPr id="1" name="Picture 1"/>
            <wp:cNvGraphicFramePr>
              <a:graphicFrameLocks noChangeAspect="1"/>
            </wp:cNvGraphicFramePr>
            <a:graphic>
              <a:graphicData uri="http://schemas.openxmlformats.org/drawingml/2006/picture">
                <pic:pic>
                  <pic:nvPicPr>
                    <pic:cNvPr id="0" name="A 7085-2024 karta.png"/>
                    <pic:cNvPicPr/>
                  </pic:nvPicPr>
                  <pic:blipFill>
                    <a:blip r:embed="rId16"/>
                    <a:stretch>
                      <a:fillRect/>
                    </a:stretch>
                  </pic:blipFill>
                  <pic:spPr>
                    <a:xfrm>
                      <a:off x="0" y="0"/>
                      <a:ext cx="5486400" cy="5458120"/>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6461718, E 571610 i SWEREF 99 TM.</w:t>
      </w:r>
    </w:p>
    <w:p>
      <w:r>
        <w:t>I och inom 22 meter från avverkningsanmälan finns fynd av 16 naturvårdsarter, varav 6 är rödlistade, 4 är fridlysta, 11 är typiska (T) och 6 är signalarter (S): kilporing (VU), dvärgbägarlav (NT, T), hornvaxskinn (NT), stiftklotterlav (NT, T), tallticka (NT, T), vedskivlav (NT, T), brandticka (S), gullgröppa (S), klippfrullania (S, T), strutbräken (S, T), tibast (S, T), trädporella (S, T), blåsippa (T, §9), spillkråka (T, §4), tjäder (T, §4)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Kilporing (VU)</w:t>
      </w:r>
      <w:r>
        <w:t xml:space="preserve"> växer på barken av döda liggande grova stammar av tall och gran som är förrötade av tickor som violticka </w:t>
      </w:r>
      <w:r>
        <w:rPr>
          <w:i/>
        </w:rPr>
        <w:t>Trichaptum spp</w:t>
      </w:r>
      <w:r>
        <w:t>. Avverkning av naturskogslika miljöer och av grova granar där svampen förekommer är ett direkt hot mot artens fortlevnad. Undanta gamla granskogar som hyser kilporing från skogsbruk och gynna arten genom att avsätta fler barrskogar till fri utveckling (SLU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 xml:space="preserve">Hornvaxskinn (NT) </w:t>
      </w:r>
      <w:r>
        <w:t>påträffas på gamla senvuxna, torra och hårda lågor i gamla naturskogsartade eller plockhuggna tallskogar i norra Sverige. Arten hotas av avverkning av naturskogsartade tallskogar och uttag av torrakor till timring av byggnader. Avverkning av naturskogsliknande tallskogar bör ej förekomma (SLU Artdatabanken, 2024).</w:t>
      </w:r>
    </w:p>
    <w:p>
      <w:r>
        <w:rPr>
          <w:b/>
        </w:rPr>
        <w:t>Stiftklotterlav (NT)</w:t>
      </w:r>
      <w:r>
        <w:t xml:space="preserve"> är en mycket bra signalart som alltid signalerar skogsområden med höga naturvärden. Den föredrar skog med långvarig kontinuitet av gamla lövträd och permanent hög och jämn luftfuktighet. Arten missgynnas vid avverkning på eller i direkt anslutning till lokalerna. Naturskogsartade ädellövskogsbestånd med rika populationer av laven bör skyddas. Stiftklotterlav är typisk art för </w:t>
      </w:r>
      <w:r>
        <w:rPr>
          <w:i/>
        </w:rPr>
        <w:t xml:space="preserve">9110 Näringsfattig bokskog </w:t>
      </w:r>
      <w:r>
        <w:t>och</w:t>
      </w:r>
      <w:r>
        <w:rPr>
          <w:i/>
        </w:rPr>
        <w:t xml:space="preserve"> 9130 Näringsrik bokskog</w:t>
      </w:r>
      <w:r>
        <w:t xml:space="preserve"> (SLU Artdatabanken, 2024; Nitare &amp; Skogsstyrelsen, 2019).</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Brandticka </w:t>
      </w:r>
      <w:r>
        <w:t>förekommer främst i olikåldrig fuktig granskog med mycket död ved, ofta i kärrkanter eller vid bäckar på lokaler med hög luftfuktighet. Växer huvudsakligen på grova granlågor, någon enstaka gång på tall, asp eller björk, och verkar knuten till ved som först rötats av klibbticka. Arten var tidigare rödlistad men en sentida ökning, bland annat i barkborreangripna granplanteringar i sydligaste Skandinavien har förändrat hotbilden. Populationen i landet kan påverkas negativt av kalavverkning och ett skogsbruk som innebär att mängden grova granlågor minskar. Även dikning och gallring som leder till ett torrare mikroklimat på växtplatserna kan ha negativ inverkan. För att säkerställa en gynnsam bevarandestatus på sikt bör områdesskydd av artens livsmiljöer upprättas på ett sätt som tryggar livskraftiga populationer på landskapsnivå. Vid skogsbruk bör grov död ved och skyddszoner vid kärr och vattendrag lämnas, och träd tillåtas åldras och dö på ett sätt som skapar kontinuerlig tillgång på livsmiljöer (SLU Artdatabanken, 2025).</w:t>
      </w:r>
    </w:p>
    <w:p>
      <w:r>
        <w:rPr>
          <w:b/>
        </w:rPr>
        <w:t>Klippfrullania</w:t>
      </w:r>
      <w:r>
        <w:t xml:space="preserve"> är i centrala, östra och norra Sverige en bra signalart. Den påträffas där i skyddsvärda skogsmiljöer med lång kontinuitet av gamla träd i halvöppen terräng, samt trädklädda bergbranter med ett mikroklimat som har konstant hög och jämn luftfuktighet året om. Klippfrullania är typisk art för </w:t>
      </w:r>
      <w:r>
        <w:rPr>
          <w:i/>
        </w:rPr>
        <w:t xml:space="preserve">9020 Nordlig ädellövskog, 9110 Näringsfattig bokskog, 9130 Näringsrik bokskog, 9160 Näringsrik ekskog, 9180 Ädellövskog i branter </w:t>
      </w:r>
      <w:r>
        <w:t xml:space="preserve">och </w:t>
      </w:r>
      <w:r>
        <w:rPr>
          <w:i/>
        </w:rPr>
        <w:t xml:space="preserve">9190 Näringsfattig ekskog </w:t>
      </w:r>
      <w:r>
        <w:t>(Nitare &amp; Skogsstyrelsen, 2019; SLU Artdatabanken, 2025).</w:t>
      </w:r>
    </w:p>
    <w:p>
      <w:r>
        <w:rPr>
          <w:b/>
        </w:rPr>
        <w:t xml:space="preserve">Strutbräken </w:t>
      </w:r>
      <w:r>
        <w:t xml:space="preserve">är normalt en mycket bra och tydlig signalart som visar på flera olika fuktiga biotoper med rörligt markvatten som nästan alltid har höga naturvärden. Den växer på skuggiga, fuktiga, näringsrika mullmarker längs bäckdalar, åar, älvar, översilade sluttningar med högörtsgranskog och svämlövskogar med kortvarigt översvämmade sedimentplan. Växtplatserna har ytligt rörligt markvatten och konstant hög luftfuktighet. Arten är känslig för avverkning och dikning.Strutbräken är typisk art för </w:t>
      </w:r>
      <w:r>
        <w:rPr>
          <w:i/>
        </w:rPr>
        <w:t xml:space="preserve">9050 Näringsrik granskog, 9080 Lövsumpskog, 9750 Svämlövskog, 9760 Svämädellövskog </w:t>
      </w:r>
      <w:r>
        <w:t>och</w:t>
      </w:r>
      <w:r>
        <w:rPr>
          <w:i/>
        </w:rPr>
        <w:t xml:space="preserve"> 6430 Högörtängar</w:t>
      </w:r>
      <w:r>
        <w:t xml:space="preserve"> (Nitare &amp; Skogsstyrelsen, 2019; SLU Artdatabanken, 2025).</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r>
        <w:rPr>
          <w:b/>
        </w:rPr>
        <w:t xml:space="preserve">Trädporella </w:t>
      </w:r>
      <w:r>
        <w:t xml:space="preserve">är i stora delar av landet en utmärkt signal på skog med höga naturvärden och ofta påträffas många ovanliga och rödlistade arter på dess lokaler. Den växer huvudsakligen på grova ädellövträd i skuggiga och fuktiga miljöer, främst i slutna ädellövskogar och bergbranter med inslag av kalk- eller grönsten. Trädporella är typisk art för </w:t>
      </w:r>
      <w:r>
        <w:rPr>
          <w:i/>
        </w:rPr>
        <w:t xml:space="preserve">9020 Nordlig ädellövskog, 9110 Näringsfattig bokskog, 9130 Näringsrik bokskog, 9160 Näringsrik ekskog, 9180 Ädellövskog i branter </w:t>
      </w:r>
      <w:r>
        <w:t xml:space="preserve">och </w:t>
      </w:r>
      <w:r>
        <w:rPr>
          <w:i/>
        </w:rPr>
        <w:t xml:space="preserve">9190 Näringsfattig ekskog </w:t>
      </w:r>
      <w:r>
        <w:t>(Nitare &amp; Skogsstyrelsen, 2019;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dvärgbägarlav (NT, T), stiftklotterlav (NT, T), tallticka (NT, T), vedskivlav (NT, T), klippfrullania (S, T), strutbräken (S, T), tibast (S, T), trädporella (S, T), blåsippa (T, §9), spillkråka (T, §4)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