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9114-2025 i Åtvidabergs kommun</w:t>
      </w:r>
    </w:p>
    <w:p>
      <w:r>
        <w:t>Denna tillsynsbegäran behandlar höga naturvärden i avverkningsanmälan A 9114-2025 i Åtvidabergs kommun som inkom 2025-02-25 och omfattar 7,5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9114-2025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6462784, E 572404 i SWEREF 99 TM.</w:t>
      </w:r>
    </w:p>
    <w:p>
      <w:r>
        <w:t>I och inom 2 meter från avverkningsanmälan finns fynd av 18 naturvårdsarter, varav 14 är rödlistade, 5 är fridlysta, 15 är typiska (T) och 2 är signalarter (S): tallharticka (EN), knärot (VU, T, §8), raggbock (VU, T), dropptaggsvamp (NT, T), dvärgbägarlav (NT, T), hornvaxskinn (NT), kattfotslav (NT, T), mindre hackspett (NT, T, §4), motaggsvamp (NT, T), reliktbock (NT, T), tallticka (NT, T), talltita (NT, §4), ullticka (NT, T), vedskivlav (NT, T), blåmossa (S, T), rävticka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2.73 ha med buffertzonerna och får av detta skäl inte avverkas.</w:t>
      </w:r>
    </w:p>
    <w:p>
      <w:pPr>
        <w:pStyle w:val="Caption"/>
      </w:pPr>
      <w:r>
        <w:drawing>
          <wp:inline xmlns:a="http://schemas.openxmlformats.org/drawingml/2006/main" xmlns:pic="http://schemas.openxmlformats.org/drawingml/2006/picture">
            <wp:extent cx="5486400" cy="5194169"/>
            <wp:docPr id="2" name="Picture 2"/>
            <wp:cNvGraphicFramePr>
              <a:graphicFrameLocks noChangeAspect="1"/>
            </wp:cNvGraphicFramePr>
            <a:graphic>
              <a:graphicData uri="http://schemas.openxmlformats.org/drawingml/2006/picture">
                <pic:pic>
                  <pic:nvPicPr>
                    <pic:cNvPr id="0" name="A 9114-2025 karta knärot.png"/>
                    <pic:cNvPicPr/>
                  </pic:nvPicPr>
                  <pic:blipFill>
                    <a:blip r:embed="rId17"/>
                    <a:stretch>
                      <a:fillRect/>
                    </a:stretch>
                  </pic:blipFill>
                  <pic:spPr>
                    <a:xfrm>
                      <a:off x="0" y="0"/>
                      <a:ext cx="5486400" cy="51941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6462784, E 572404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raggbock (VU, T), dropptaggsvamp (NT, T), dvärgbägarlav (NT, T), kattfotslav (NT, T), mindre hackspett (NT, T, §4), motaggsvamp (NT, T), reliktbock (NT, T), tallticka (NT, T), ullticka (NT, T), vedskivlav (NT, T), blåmossa (S, T), rävticka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