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37646-2026 i Åtvidabergs kommun</w:t>
      </w:r>
    </w:p>
    <w:p>
      <w:r>
        <w:t>Detta klagomål behandlar höga naturvärden i avverkningsanmälan A 37646-2026 i Åtvidabergs kommun som inkom 2026-09-11 och omfattar 1,9 ha.</w:t>
      </w:r>
    </w:p>
    <w:p>
      <w:pPr>
        <w:pStyle w:val="Caption"/>
      </w:pPr>
      <w:r>
        <w:drawing>
          <wp:inline xmlns:a="http://schemas.openxmlformats.org/drawingml/2006/main" xmlns:pic="http://schemas.openxmlformats.org/drawingml/2006/picture">
            <wp:extent cx="5486400" cy="3951716"/>
            <wp:docPr id="1" name="Picture 1"/>
            <wp:cNvGraphicFramePr>
              <a:graphicFrameLocks noChangeAspect="1"/>
            </wp:cNvGraphicFramePr>
            <a:graphic>
              <a:graphicData uri="http://schemas.openxmlformats.org/drawingml/2006/picture">
                <pic:pic>
                  <pic:nvPicPr>
                    <pic:cNvPr id="0" name="A 37646-2026 karta.png"/>
                    <pic:cNvPicPr/>
                  </pic:nvPicPr>
                  <pic:blipFill>
                    <a:blip r:embed="rId16"/>
                    <a:stretch>
                      <a:fillRect/>
                    </a:stretch>
                  </pic:blipFill>
                  <pic:spPr>
                    <a:xfrm>
                      <a:off x="0" y="0"/>
                      <a:ext cx="5486400" cy="395171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6453501, E 574632 i SWEREF 99 TM.</w:t>
      </w:r>
    </w:p>
    <w:p>
      <w:r>
        <w:t>I och inom 20 meter från avverkningsanmälan finns fynd av 10 naturvårdsarter, varav 3 är rödlistade, 1 är fridlyst, 3 är typiska (T) och 6 är signalarter (S): bredbrämad bastardsvärmare (VU), mindre bastardsvärmare (VU), smalsprötad bastardsvärmare (VU), fällmossa (S, T), grön sköldmossa (S, T, §8), sotriska (S), sprödvaxing (S), toppvaxing (S), västlig hakmossa (S) och majbräken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