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35273-2025 i Åtvidabergs kommun</w:t>
      </w:r>
    </w:p>
    <w:p>
      <w:r>
        <w:t>Denna tillsynsbegäran behandlar höga naturvärden i avverkningsanmälan A 35273-2025 i Åtvidabergs kommun som inkom 2025-07-15 och omfattar 4,9 ha.</w:t>
      </w:r>
    </w:p>
    <w:p>
      <w:pPr>
        <w:pStyle w:val="Caption"/>
      </w:pPr>
      <w:r>
        <w:drawing>
          <wp:inline xmlns:a="http://schemas.openxmlformats.org/drawingml/2006/main" xmlns:pic="http://schemas.openxmlformats.org/drawingml/2006/picture">
            <wp:extent cx="5486400" cy="5646656"/>
            <wp:docPr id="1" name="Picture 1"/>
            <wp:cNvGraphicFramePr>
              <a:graphicFrameLocks noChangeAspect="1"/>
            </wp:cNvGraphicFramePr>
            <a:graphic>
              <a:graphicData uri="http://schemas.openxmlformats.org/drawingml/2006/picture">
                <pic:pic>
                  <pic:nvPicPr>
                    <pic:cNvPr id="0" name="A 35273-2025 karta.png"/>
                    <pic:cNvPicPr/>
                  </pic:nvPicPr>
                  <pic:blipFill>
                    <a:blip r:embed="rId16"/>
                    <a:stretch>
                      <a:fillRect/>
                    </a:stretch>
                  </pic:blipFill>
                  <pic:spPr>
                    <a:xfrm>
                      <a:off x="0" y="0"/>
                      <a:ext cx="5486400" cy="5646656"/>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6463640, E 560712 i SWEREF 99 TM.</w:t>
      </w:r>
    </w:p>
    <w:p>
      <w:r>
        <w:t>I och inom 18 meter från avverkningsanmälan finns fynd av 28 naturvårdsarter, varav 11 är rödlistade, 9 är fridlysta, 21 är typiska (T) och 10 är signalarter (S): knärot (VU, T, §8), dropptaggsvamp (NT, T), dvärgbägarlav (NT, T), hornvaxskinn (NT), mindre hackspett (NT, T, §4), reliktbock (NT, T), skuggblåslav (NT, T), tallticka (NT, T), talltita (NT, §4), ullticka (NT, T), vedskivlav (NT, T), blodticka (S, T), blompraktbagge (S), blåmossa (S, T), grovticka (S, T), grönpyrola (S, T), klippfrullania (S, T), lömsk flugsvamp (S), mindre märgborre (S, T), rävticka (S, T), trädporella (S, T), blåsippa (T, §9), kötticka (T), spillkråka (T, §4), tjäder (T, §4), fiskgjuse (§4), gröngöling (§4) och huggorm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0.71 ha med buffertzonerna och får av detta skäl inte avverkas.</w:t>
      </w:r>
    </w:p>
    <w:p>
      <w:pPr>
        <w:pStyle w:val="Caption"/>
      </w:pPr>
      <w:r>
        <w:drawing>
          <wp:inline xmlns:a="http://schemas.openxmlformats.org/drawingml/2006/main" xmlns:pic="http://schemas.openxmlformats.org/drawingml/2006/picture">
            <wp:extent cx="5486400" cy="5035799"/>
            <wp:docPr id="2" name="Picture 2"/>
            <wp:cNvGraphicFramePr>
              <a:graphicFrameLocks noChangeAspect="1"/>
            </wp:cNvGraphicFramePr>
            <a:graphic>
              <a:graphicData uri="http://schemas.openxmlformats.org/drawingml/2006/picture">
                <pic:pic>
                  <pic:nvPicPr>
                    <pic:cNvPr id="0" name="A 35273-2025 karta knärot.png"/>
                    <pic:cNvPicPr/>
                  </pic:nvPicPr>
                  <pic:blipFill>
                    <a:blip r:embed="rId17"/>
                    <a:stretch>
                      <a:fillRect/>
                    </a:stretch>
                  </pic:blipFill>
                  <pic:spPr>
                    <a:xfrm>
                      <a:off x="0" y="0"/>
                      <a:ext cx="5486400" cy="503579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6463640, E 560712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 xml:space="preserve">Hornvaxskinn (NT) </w:t>
      </w:r>
      <w:r>
        <w:t>påträffas på gamla senvuxna, torra och hårda lågor i gamla naturskogsartade eller plockhuggna tallskogar i norra Sverige. Arten hotas av avverkning av naturskogsartade tallskogar och uttag av torrakor till timring av byggnader. Avverkning av naturskogsliknande tallskogar bör ej förekomma (SLU Artdatabanken, 2024).</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Klippfrullania</w:t>
      </w:r>
      <w:r>
        <w:t xml:space="preserve"> är i centrala, östra och norra Sverige en bra signalart. Den påträffas där i skyddsvärda skogsmiljöer med lång kontinuitet av gamla träd i halvöppen terräng, samt trädklädda bergbranter med ett mikroklimat som har konstant hög och jämn luftfuktighet året om. Klippfrullania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Rävticka</w:t>
      </w:r>
      <w:r>
        <w:t xml:space="preserve"> är typisk art för </w:t>
      </w:r>
      <w:r>
        <w:rPr>
          <w:i/>
        </w:rPr>
        <w:t xml:space="preserve">9010 Taiga </w:t>
      </w:r>
      <w:r>
        <w:t>(SLU Artdatabanken, 2025).</w:t>
      </w:r>
    </w:p>
    <w:p>
      <w:r>
        <w:rPr>
          <w:b/>
        </w:rPr>
        <w:t xml:space="preserve">Trädporella </w:t>
      </w:r>
      <w:r>
        <w:t xml:space="preserve">är i stora delar av landet en utmärkt signal på skog med höga naturvärden och ofta påträffas många ovanliga och rödlistade arter på dess lokaler. Den växer huvudsakligen på grova ädellövträd i skuggiga och fuktiga miljöer, främst i slutna ädellövskogar och bergbranter med inslag av kalk- eller grönsten. Trädporella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Fiskgjuse (§4)</w:t>
      </w:r>
      <w:r>
        <w:t xml:space="preserve"> är fridlyst enligt 4§ artskyddsförordningen och upptagen i bilaga 1 EU:s fågeldirektiv. Den bygger vanligen sitt stora risbo i toppen av en plattkronad, kraftig tall (&gt;90%) med utsikt över omgivningen. Skogsavverkningar utan hänsyn till bevarandet av fiskgjusens boträd och häckningsbiotop utgör en fara genom att tillgången på lämpliga träd minskar. Lämna en skyddszon kring boplatser vid avverkning eller gallring. Boträdets placering styr behovet av skyddszon vilket måste bedömas från fall till fall, men skyddszonen bör vara tillräckligt bred för att behålla skydd mot insyn, erbjuda lämpliga sittplatser och förhindra att boträdet blåser ner. Avstå från skogsbruksåtgärder i hänsynskrävande miljöer, som på uddar eller öar med äldre skog eller hällmarkstallskog där det häckar fiskgjuse. Gör naturvårdsavsättningar i äldre skog i lämpliga områden för fiskgjuse, t.ex. på uddar och i hällmarksområden (SLU Artdatabanken, 2024;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dropptaggsvamp (NT, T), dvärgbägarlav (NT, T), mindre hackspett (NT, T, §4), reliktbock (NT, T), skuggblåslav (NT, T), tallticka (NT, T), ullticka (NT, T), vedskivlav (NT, T), blodticka (S, T), blåmossa (S, T), grovticka (S, T), grönpyrola (S, T), klippfrullania (S, T), mindre märgborre (S, T), rävticka (S, T), trädporella (S, T), blåsippa (T, §9), kötticka (T),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