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7085-2024 i Åtvidabergs kommun</w:t>
      </w:r>
    </w:p>
    <w:p>
      <w:r>
        <w:t>Detta dokument behandlar höga naturvärden i avverkningsanmälan A 7085-2024 i Åtvidabergs kommun. Denna avverkningsanmälan inkom 2024-02-21 00:00:00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dvärgbägarlav (NT), hornvaxskinn (NT), kilporing (NT), spillkråka (NT, §4), stiftklotterlav (NT), tallticka (NT), vedskivlav (NT), brandticka (S), gullgröppa (S), strutbräken (S), tibast (S), trädporella (S), blåsippa (§9)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7085-2024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6461718, E 571610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Kilporing (NT)</w:t>
      </w:r>
      <w:r>
        <w:t xml:space="preserve"> växer på barken av döda liggande grova stammar av tall och gran som är förrötade av tickor som violticka </w:t>
      </w:r>
      <w:r>
        <w:rPr>
          <w:i/>
        </w:rPr>
        <w:t>Trichaptum spp</w:t>
      </w:r>
      <w:r>
        <w:t>. Avverkning av naturskogslika miljöer och av grova granar där svampen förekommer är ett direkt hot mot artens fortlevnad. Arten gynnas av om fler barrskogar avsätts till fri utveckling (SLU Artdatabanken, 2024).</w:t>
      </w:r>
    </w:p>
    <w:p>
      <w:r>
        <w:rPr>
          <w:b/>
        </w:rPr>
        <w:t>Stiftklotterlav (NT)</w:t>
      </w:r>
      <w:r>
        <w:t xml:space="preserve"> är en mycket bra signalart som alltid signalerar skogsområden med höga naturvärden. Den föredrar skog med långvarig kontinuitet av gamla lövträd och permanent hög och jämn luftfuktighet. Arten missgynnas vid avverkning på eller i direkt anslutning till lokalerna. Naturskogsartade ädellövskogsbestånd med rika populationer av laven bör skyddas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