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22410-2026 i Åtvidabergs kommun</w:t>
      </w:r>
    </w:p>
    <w:p>
      <w:r>
        <w:t>Detta klagomål behandlar höga naturvärden i avverkningsanmälan A 22410-2026 i Åtvidabergs kommun som inkom 2026-05-12 och omfattar 3,9 ha.</w:t>
      </w:r>
    </w:p>
    <w:p>
      <w:pPr>
        <w:pStyle w:val="Caption"/>
      </w:pPr>
      <w:r>
        <w:drawing>
          <wp:inline xmlns:a="http://schemas.openxmlformats.org/drawingml/2006/main" xmlns:pic="http://schemas.openxmlformats.org/drawingml/2006/picture">
            <wp:extent cx="5486400" cy="4172304"/>
            <wp:docPr id="1" name="Picture 1"/>
            <wp:cNvGraphicFramePr>
              <a:graphicFrameLocks noChangeAspect="1"/>
            </wp:cNvGraphicFramePr>
            <a:graphic>
              <a:graphicData uri="http://schemas.openxmlformats.org/drawingml/2006/picture">
                <pic:pic>
                  <pic:nvPicPr>
                    <pic:cNvPr id="0" name="A 22410-2026 karta.png"/>
                    <pic:cNvPicPr/>
                  </pic:nvPicPr>
                  <pic:blipFill>
                    <a:blip r:embed="rId16"/>
                    <a:stretch>
                      <a:fillRect/>
                    </a:stretch>
                  </pic:blipFill>
                  <pic:spPr>
                    <a:xfrm>
                      <a:off x="0" y="0"/>
                      <a:ext cx="5486400" cy="417230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6448533, E 563909 i SWEREF 99 TM.</w:t>
      </w:r>
    </w:p>
    <w:p>
      <w:r>
        <w:t>I och inom 6 meter från avverkningsanmälan finns fynd av 14 naturvårdsarter, varav 1 är rödlistad, 4 är fridlysta, 10 är typiska (T) och 9 är signalarter (S): vedtrappmossa (NT, T), björksplintborre (S), blodticka (S, T), bronshjon (S, T), grovticka (S, T), grön sköldmossa (S, T, §8), grönpyrola (S, T), mindre märgborre (S, T), västlig hakmossa (S), vågbandad barkbock (S), blåsippa (T, §9), kransmossa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