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37636-2026 i Åtvidabergs kommun</w:t>
      </w:r>
    </w:p>
    <w:p>
      <w:r>
        <w:t>Detta klagomål behandlar höga naturvärden i avverkningsanmälan A 37636-2026 i Åtvidabergs kommun som inkom 2026-09-11 och omfattar 4,7 ha.</w:t>
      </w:r>
    </w:p>
    <w:p>
      <w:pPr>
        <w:pStyle w:val="Caption"/>
      </w:pPr>
      <w:r>
        <w:drawing>
          <wp:inline xmlns:a="http://schemas.openxmlformats.org/drawingml/2006/main" xmlns:pic="http://schemas.openxmlformats.org/drawingml/2006/picture">
            <wp:extent cx="5486400" cy="4820478"/>
            <wp:docPr id="1" name="Picture 1"/>
            <wp:cNvGraphicFramePr>
              <a:graphicFrameLocks noChangeAspect="1"/>
            </wp:cNvGraphicFramePr>
            <a:graphic>
              <a:graphicData uri="http://schemas.openxmlformats.org/drawingml/2006/picture">
                <pic:pic>
                  <pic:nvPicPr>
                    <pic:cNvPr id="0" name="A 37636-2026 karta.png"/>
                    <pic:cNvPicPr/>
                  </pic:nvPicPr>
                  <pic:blipFill>
                    <a:blip r:embed="rId16"/>
                    <a:stretch>
                      <a:fillRect/>
                    </a:stretch>
                  </pic:blipFill>
                  <pic:spPr>
                    <a:xfrm>
                      <a:off x="0" y="0"/>
                      <a:ext cx="5486400" cy="482047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6452980, E 573103 i SWEREF 99 TM.</w:t>
      </w:r>
    </w:p>
    <w:p>
      <w:r>
        <w:t>I och inom 22 meter från avverkningsanmälan finns fynd av 28 naturvårdsarter, varav 7 är rödlistade, 5 är fridlysta, 22 är typiska (T) och 12 är signalarter (S): knärot (VU, T, §8), kattfotslav (NT, T), motaggsvamp (NT, T), tallticka (NT, T), ullticka (NT, T), vedskivlav (NT, T), vedtrappmossa (NT, T), björksplintborre (S), blomkålssvamp (S), flagellkvastmossa (S, T), fällmossa (S, T), grovticka (S, T), grön sköldmossa (S, T, §8), grönpyrola (S, T), mindre märgborre (S, T), stor revmossa (S), vedticka (S, T), västlig hakmossa (S), vågbandad barkbock (S), ekorrbär (T), getrams (T), kransmossa (T), linnea (T), skogsstjärna (T), skriftlav (T), spillkråka (T, §4), tjäder (T, §4)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6171405"/>
            <wp:docPr id="2" name="Picture 2"/>
            <wp:cNvGraphicFramePr>
              <a:graphicFrameLocks noChangeAspect="1"/>
            </wp:cNvGraphicFramePr>
            <a:graphic>
              <a:graphicData uri="http://schemas.openxmlformats.org/drawingml/2006/picture">
                <pic:pic>
                  <pic:nvPicPr>
                    <pic:cNvPr id="0" name="A 37636-2026 karta knärot.png"/>
                    <pic:cNvPicPr/>
                  </pic:nvPicPr>
                  <pic:blipFill>
                    <a:blip r:embed="rId17"/>
                    <a:stretch>
                      <a:fillRect/>
                    </a:stretch>
                  </pic:blipFill>
                  <pic:spPr>
                    <a:xfrm>
                      <a:off x="0" y="0"/>
                      <a:ext cx="5486400" cy="617140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6452980, E 573103 i SWEREF 99 TM.</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Ekorrbär </w:t>
      </w:r>
      <w:r>
        <w:t xml:space="preserve">är typisk art för </w:t>
      </w:r>
      <w:r>
        <w:rPr>
          <w:i/>
        </w:rPr>
        <w:t xml:space="preserve">9190 Näringsfattig ekskog </w:t>
      </w:r>
      <w:r>
        <w:t>(SLU Artdatabanken, 2025).</w:t>
      </w:r>
    </w:p>
    <w:p>
      <w:r>
        <w:rPr>
          <w:b/>
        </w:rPr>
        <w:t>Getrams</w:t>
      </w:r>
      <w:r>
        <w:t xml:space="preserve"> är typisk art för </w:t>
      </w:r>
      <w:r>
        <w:rPr>
          <w:i/>
        </w:rPr>
        <w:t>9190 Näringsfattig ekskog</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 xml:space="preserve">Skogsstjärna </w:t>
      </w:r>
      <w:r>
        <w:t xml:space="preserve">är typisk art för </w:t>
      </w:r>
      <w:r>
        <w:rPr>
          <w:i/>
        </w:rPr>
        <w:t xml:space="preserve">9190 Näringsfattig ekskog </w:t>
      </w:r>
      <w:r>
        <w:t>(SLU Artdatabanken, 2025).</w:t>
      </w:r>
    </w:p>
    <w:p>
      <w:r>
        <w:rPr>
          <w:b/>
        </w:rPr>
        <w:t>Skriftlav</w:t>
      </w:r>
      <w:r>
        <w:t xml:space="preserve"> 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