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37218-2023 i Åtvidabergs kommun</w:t>
      </w:r>
    </w:p>
    <w:p>
      <w:r>
        <w:t>Detta dokument behandlar höga naturvärden i avverkningsanmälan A 37218-2023 i Åtvidabergs kommun. Denna avverkningsanmälan inkom 2023-08-17 och omfattar 0,6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talltita (NT, §4), ullticka (NT) och barkticka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61470"/>
            <wp:docPr id="1" name="Picture 1"/>
            <wp:cNvGraphicFramePr>
              <a:graphicFrameLocks noChangeAspect="1"/>
            </wp:cNvGraphicFramePr>
            <a:graphic>
              <a:graphicData uri="http://schemas.openxmlformats.org/drawingml/2006/picture">
                <pic:pic>
                  <pic:nvPicPr>
                    <pic:cNvPr id="0" name="A 37218-2023 karta.png"/>
                    <pic:cNvPicPr/>
                  </pic:nvPicPr>
                  <pic:blipFill>
                    <a:blip r:embed="rId16"/>
                    <a:stretch>
                      <a:fillRect/>
                    </a:stretch>
                  </pic:blipFill>
                  <pic:spPr>
                    <a:xfrm>
                      <a:off x="0" y="0"/>
                      <a:ext cx="5486400" cy="38614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6464428, E 562561 i SWEREF 99 TM.</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0.39 ha med buffertzonerna och får av detta skäl inte avverkas.</w:t>
      </w:r>
    </w:p>
    <w:p>
      <w:pPr>
        <w:pStyle w:val="Caption"/>
      </w:pPr>
      <w:r>
        <w:drawing>
          <wp:inline xmlns:a="http://schemas.openxmlformats.org/drawingml/2006/main" xmlns:pic="http://schemas.openxmlformats.org/drawingml/2006/picture">
            <wp:extent cx="5486400" cy="4455090"/>
            <wp:docPr id="2" name="Picture 2"/>
            <wp:cNvGraphicFramePr>
              <a:graphicFrameLocks noChangeAspect="1"/>
            </wp:cNvGraphicFramePr>
            <a:graphic>
              <a:graphicData uri="http://schemas.openxmlformats.org/drawingml/2006/picture">
                <pic:pic>
                  <pic:nvPicPr>
                    <pic:cNvPr id="0" name="A 37218-2023 karta knärot.png"/>
                    <pic:cNvPicPr/>
                  </pic:nvPicPr>
                  <pic:blipFill>
                    <a:blip r:embed="rId17"/>
                    <a:stretch>
                      <a:fillRect/>
                    </a:stretch>
                  </pic:blipFill>
                  <pic:spPr>
                    <a:xfrm>
                      <a:off x="0" y="0"/>
                      <a:ext cx="5486400" cy="445509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6464428, E 562561 i SWEREF 99 TM.</w:t>
      </w:r>
    </w:p>
    <w:p>
      <w:pPr>
        <w:pStyle w:val="Caption"/>
      </w:pP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