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50904-2024 i Finspångs kommun</w:t>
      </w:r>
    </w:p>
    <w:p>
      <w:r>
        <w:t>Detta klagomål behandlar höga naturvärden i avverkningsanmälan A 50904-2024 i Finspångs kommun som inkom 2024-11-06 och omfattar 2,0 ha.</w:t>
      </w:r>
    </w:p>
    <w:p>
      <w:pPr>
        <w:pStyle w:val="Caption"/>
      </w:pPr>
      <w:r>
        <w:drawing>
          <wp:inline xmlns:a="http://schemas.openxmlformats.org/drawingml/2006/main" xmlns:pic="http://schemas.openxmlformats.org/drawingml/2006/picture">
            <wp:extent cx="5486400" cy="4907594"/>
            <wp:docPr id="1" name="Picture 1"/>
            <wp:cNvGraphicFramePr>
              <a:graphicFrameLocks noChangeAspect="1"/>
            </wp:cNvGraphicFramePr>
            <a:graphic>
              <a:graphicData uri="http://schemas.openxmlformats.org/drawingml/2006/picture">
                <pic:pic>
                  <pic:nvPicPr>
                    <pic:cNvPr id="0" name="A 50904-2024 karta.png"/>
                    <pic:cNvPicPr/>
                  </pic:nvPicPr>
                  <pic:blipFill>
                    <a:blip r:embed="rId16"/>
                    <a:stretch>
                      <a:fillRect/>
                    </a:stretch>
                  </pic:blipFill>
                  <pic:spPr>
                    <a:xfrm>
                      <a:off x="0" y="0"/>
                      <a:ext cx="5486400" cy="49075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6518004, E 548198 i SWEREF 99 TM.</w:t>
      </w:r>
    </w:p>
    <w:p>
      <w:r>
        <w:t>I avverkningsanmälan finns fynd av 3 naturvårdsarter, varav 1 är rödlistad, 1 är typisk (T) och 2 är signalarter (S): skogsklocka (NT), igelkottsröksvamp (S)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