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57460-2022 i Finspångs kommun</w:t>
      </w:r>
    </w:p>
    <w:p>
      <w:r>
        <w:t>Detta klagomål behandlar höga naturvärden i avverkningsanmälan A 57460-2022 i Finspångs kommun som inkom 2022-12-01 och omfattar 4,9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57460-2022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6507799, E 550377 i SWEREF 99 TM.</w:t>
      </w:r>
    </w:p>
    <w:p>
      <w:r>
        <w:t>I och inom 21 meter från avverkningsanmälan finns fynd av 20 naturvårdsarter, varav 10 är rödlistade, 1 är fridlyst, 8 är typiska (T) och 9 är signalarter (S): ask (EN), skogsalm (EN), lundvaxskivling (VU), bergjohannesört (NT), gammelekslav (NT, T), gullklöver (NT), kandelabersvamp (NT, T), korskovall (NT), rosa skärelav (NT, T), ullticka (NT, T), bolmörtsskivling (S), brun nållav (S), dvärgtufs (S), fällmossa (S, T), grå skärelav (S), guldlockmossa (S, T), klippfrullania (S, T), mandelriska (S), toppvaxing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Lundvaxskivling (NT)</w:t>
      </w:r>
      <w:r>
        <w:t xml:space="preserve"> växer i luckig ek- och ädellövskog samt hagmark och löväng där den på örtrik mark bildar mykorrhiza med ek, ev. även med hassel och bok. Arten kan betraktas som en indikatorart för goda lövbiotoper och lokaler med rik förekomst av denna art har ett högt skyddsvärde och bör bevaras i oförändrat skick. Ekskogar och ädellövskogar med ek skall inte ersättas med annat trädslag och brukning bör ske med stor försiktighet (SLU Artdatabanken, 2024).</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