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rödlistad som starkt hotad och fridlyst enligt 8 § artskyddsförordningen. Samtliga lokaler måste skyddas och det är av största vikt är att behålla ett rikt utbildat buskskikt och förhindra avverkning av ädellövträden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