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5929-2022 i Linköpings kommun</w:t>
      </w:r>
    </w:p>
    <w:p>
      <w:r>
        <w:t>Denna tillsynsbegäran behandlar höga naturvärden i samrådsanmälan S 5929-2022 i Linköpings kommun som inkom 2022-10-21 och omfattar 14,1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S 5929-2022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6469073, E 551703 i SWEREF 99 TM.</w:t>
      </w:r>
    </w:p>
    <w:p>
      <w:r>
        <w:t>I samrådsanmälan finns fynd av 17 naturvårdsarter, varav 12 är rödlistade, 6 är fridlysta, 11 är typiska (T) och 3 är signalarter (S): hasselsnok (VU, §4a), knärot (VU, T, §8), kärnticka (VU, T), aspstumpbagge (NT), dårgräsfjäril (NT, §4a), kandelabersvamp (NT, T), oxtungssvamp (NT), rörsångare (NT, §4), sårläka (NT, T), tallticka (NT, T), vedskivlav (NT, T), vippärt (NT, T), barkticka (S, T), gulpudrad spiklav (S, T), mindre märgborre (S, T),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82402"/>
            <wp:docPr id="2" name="Picture 2"/>
            <wp:cNvGraphicFramePr>
              <a:graphicFrameLocks noChangeAspect="1"/>
            </wp:cNvGraphicFramePr>
            <a:graphic>
              <a:graphicData uri="http://schemas.openxmlformats.org/drawingml/2006/picture">
                <pic:pic>
                  <pic:nvPicPr>
                    <pic:cNvPr id="0" name="S 5929-2022 karta knärot.png"/>
                    <pic:cNvPicPr/>
                  </pic:nvPicPr>
                  <pic:blipFill>
                    <a:blip r:embed="rId17"/>
                    <a:stretch>
                      <a:fillRect/>
                    </a:stretch>
                  </pic:blipFill>
                  <pic:spPr>
                    <a:xfrm>
                      <a:off x="0" y="0"/>
                      <a:ext cx="5486400" cy="578240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6469073, E 551703 i SWEREF 99 TM.</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kärnticka (VU, T), kandelabersvamp (NT, T), sårläka (NT, T), tallticka (NT, T), vedskivlav (NT, T), vippärt (NT, T), barkticka (S, T), gulpudrad spiklav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