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5105-2021 i Linköpings kommun</w:t>
      </w:r>
    </w:p>
    <w:p>
      <w:r>
        <w:t>Detta klagomål behandlar höga naturvärden i samrådsanmälan S 5105-2021 i Linköpings kommun som inkom 2021-08-13 och omfattar 0,9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S 5105-2021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har ett svart streck som visar fyndplatsens exakta position. Kartans mittpunktskoordinat är N 6475806, E 545956 i SWEREF 99 TM.</w:t>
      </w:r>
    </w:p>
    <w:p>
      <w:r>
        <w:t>I och inom 25 meter från samrådsanmälan finns fynd av 9 naturvårdsarter, varav 6 är rödlistade, 5 är fridlysta och 4 är typiska (T): bombmurkla (EN, §8), knärot (VU, T, §8), olivinkremla (VU), fjällig taggsvamp s.str. (NT), kryddspindling (NT, T), vårärt (NT, T), blåsippa (T, §9), kungsfågel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9180807"/>
            <wp:docPr id="2" name="Picture 2"/>
            <wp:cNvGraphicFramePr>
              <a:graphicFrameLocks noChangeAspect="1"/>
            </wp:cNvGraphicFramePr>
            <a:graphic>
              <a:graphicData uri="http://schemas.openxmlformats.org/drawingml/2006/picture">
                <pic:pic>
                  <pic:nvPicPr>
                    <pic:cNvPr id="0" name="S 5105-2021 karta knärot.png"/>
                    <pic:cNvPicPr/>
                  </pic:nvPicPr>
                  <pic:blipFill>
                    <a:blip r:embed="rId17"/>
                    <a:stretch>
                      <a:fillRect/>
                    </a:stretch>
                  </pic:blipFill>
                  <pic:spPr>
                    <a:xfrm>
                      <a:off x="0" y="0"/>
                      <a:ext cx="5486400" cy="918080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6475806, E 545956 i SWEREF 99 TM.</w:t>
      </w:r>
    </w:p>
    <w:p>
      <w:r>
        <w:rPr>
          <w:b/>
        </w:rPr>
        <w:t>Olivinkremla (VU)</w:t>
      </w:r>
      <w:r>
        <w:t xml:space="preserve"> bildar mykorrhiza med gran i örtrik granskog, särskilt på fuktig och gärna något kalkhaltig mark. Arten är knuten till exklusiva örtrika granskogar. Total population i landet bedöms ha minskat kraftigt och fortgående att minska, huvudsakligen p.g.a. slutavverkning av rikare örtgranskog i Norrland. Arten är en del av ett marksvampsamhälle i en granskogstyp på rik mark som sällan skyddas och/eller undantas vid produktionsskogsbruk. En långsiktig tillgång till värdträd säkras genom att växtplatserna undantas från avverkning. Utsätt inte växtplatser för kraftiga störningar av typen dikning, markberedning eller körning med skogsfordon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