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4553-2023 i Linköpings kommun</w:t>
      </w:r>
    </w:p>
    <w:p>
      <w:r>
        <w:t>Denna tillsynsbegäran behandlar höga naturvärden i samrådsanmälan S 4553-2023 i Linköpings kommun som inkom 2023-12-20 och omfattar 0,8 ha.</w:t>
      </w:r>
    </w:p>
    <w:p>
      <w:pPr>
        <w:pStyle w:val="Caption"/>
      </w:pPr>
      <w:r>
        <w:drawing>
          <wp:inline xmlns:a="http://schemas.openxmlformats.org/drawingml/2006/main" xmlns:pic="http://schemas.openxmlformats.org/drawingml/2006/picture">
            <wp:extent cx="5486400" cy="4800129"/>
            <wp:docPr id="1" name="Picture 1"/>
            <wp:cNvGraphicFramePr>
              <a:graphicFrameLocks noChangeAspect="1"/>
            </wp:cNvGraphicFramePr>
            <a:graphic>
              <a:graphicData uri="http://schemas.openxmlformats.org/drawingml/2006/picture">
                <pic:pic>
                  <pic:nvPicPr>
                    <pic:cNvPr id="0" name="S 4553-2023 karta.png"/>
                    <pic:cNvPicPr/>
                  </pic:nvPicPr>
                  <pic:blipFill>
                    <a:blip r:embed="rId16"/>
                    <a:stretch>
                      <a:fillRect/>
                    </a:stretch>
                  </pic:blipFill>
                  <pic:spPr>
                    <a:xfrm>
                      <a:off x="0" y="0"/>
                      <a:ext cx="5486400" cy="4800129"/>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6464360, E 546046 i SWEREF 99 TM.</w:t>
      </w:r>
    </w:p>
    <w:p>
      <w:r>
        <w:t>I och inom 7 meter från samrådsanmälan finns fynd av 7 naturvårdsarter, varav 1 är rödlistad, 2 är fridlysta, 5 är typiska (T) och 4 är signalarter (S): gammelekslav (NT, T), fällmossa (S, T), gulpudrad spiklav (S, T), svart trolldruva (S, T), trubbfjädermossa (S, T),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gammelekslav (NT, T), fällmossa (S, T), gulpudrad spiklav (S, T), svart trolldruva (S, T) och trubbfjädermossa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