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5929-2022 i Linköpings kommun</w:t>
      </w:r>
    </w:p>
    <w:p>
      <w:r>
        <w:t>Detta klagomål behandlar höga naturvärden i samrådsanmälan S 5929-2022 i Linköpings kommun som inkom 2022-10-21 och omfattar 14,1 ha.</w:t>
      </w:r>
    </w:p>
    <w:p>
      <w:pPr>
        <w:pStyle w:val="Caption"/>
      </w:pPr>
      <w:r>
        <w:drawing>
          <wp:inline xmlns:a="http://schemas.openxmlformats.org/drawingml/2006/main" xmlns:pic="http://schemas.openxmlformats.org/drawingml/2006/picture">
            <wp:extent cx="5198764" cy="5724000"/>
            <wp:docPr id="1" name="Picture 1"/>
            <wp:cNvGraphicFramePr>
              <a:graphicFrameLocks noChangeAspect="1"/>
            </wp:cNvGraphicFramePr>
            <a:graphic>
              <a:graphicData uri="http://schemas.openxmlformats.org/drawingml/2006/picture">
                <pic:pic>
                  <pic:nvPicPr>
                    <pic:cNvPr id="0" name="S 5929-2022 karta.png"/>
                    <pic:cNvPicPr/>
                  </pic:nvPicPr>
                  <pic:blipFill>
                    <a:blip r:embed="rId16"/>
                    <a:stretch>
                      <a:fillRect/>
                    </a:stretch>
                  </pic:blipFill>
                  <pic:spPr>
                    <a:xfrm>
                      <a:off x="0" y="0"/>
                      <a:ext cx="5198764"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6469073, E 551703 i SWEREF 99 TM.</w:t>
      </w:r>
    </w:p>
    <w:p>
      <w:r>
        <w:t>I samrådsanmälan finns fynd av 17 naturvårdsarter, varav 12 är rödlistade, 6 är fridlysta, 11 är typiska (T) och 3 är signalarter (S): hasselsnok (VU, §4a), knärot (VU, T, §8), kärnticka (VU, T), aspstumpbagge (NT), dårgräsfjäril (NT, §4a), kandelabersvamp (NT, T), oxtungssvamp (NT), rörsångare (NT, §4), sårläka (NT, T), tallticka (NT, T), vedskivlav (NT, T), vippärt (NT, T), barkticka (S, T), gulpudrad spiklav (S, T), mindre märgborre (S, T), spillkråka (T,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782402"/>
            <wp:docPr id="2" name="Picture 2"/>
            <wp:cNvGraphicFramePr>
              <a:graphicFrameLocks noChangeAspect="1"/>
            </wp:cNvGraphicFramePr>
            <a:graphic>
              <a:graphicData uri="http://schemas.openxmlformats.org/drawingml/2006/picture">
                <pic:pic>
                  <pic:nvPicPr>
                    <pic:cNvPr id="0" name="S 5929-2022 karta knärot.png"/>
                    <pic:cNvPicPr/>
                  </pic:nvPicPr>
                  <pic:blipFill>
                    <a:blip r:embed="rId17"/>
                    <a:stretch>
                      <a:fillRect/>
                    </a:stretch>
                  </pic:blipFill>
                  <pic:spPr>
                    <a:xfrm>
                      <a:off x="0" y="0"/>
                      <a:ext cx="5486400" cy="5782402"/>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6469073, E 551703 i SWEREF 99 TM.</w:t>
      </w:r>
    </w:p>
    <w:p>
      <w:r>
        <w:rPr>
          <w:b/>
        </w:rPr>
        <w:t>Kärnticka (VU)</w:t>
      </w:r>
      <w:r>
        <w:t xml:space="preserve"> är en nedbrytare i medelgrova stammar av levande ekar, i ekskog, hagmark och löväng. Arten hotas av att värdträd avverkas och av att hela bestånd med olikåldrig ek- eller ekblandskog avverkas och ersätts av likåldriga barr- eller lövbestånd. Kvarvarande större bestånd av ek med lång kontinuitet och ett större inslag av äldre träd bör bevaras. Kärnticka är typisk art för </w:t>
      </w:r>
      <w:r>
        <w:rPr>
          <w:i/>
        </w:rPr>
        <w:t xml:space="preserve">9020 Nordlig ädellövskog </w:t>
      </w:r>
      <w:r>
        <w:t xml:space="preserve">och </w:t>
      </w:r>
      <w:r>
        <w:rPr>
          <w:i/>
        </w:rPr>
        <w:t>9160 Näringsrik ekskog</w:t>
      </w:r>
      <w:r>
        <w:t xml:space="preserve"> (SLU Artdatabanken, 2024).</w:t>
      </w:r>
    </w:p>
    <w:p>
      <w:r>
        <w:rPr>
          <w:b/>
        </w:rPr>
        <w:t xml:space="preserve">Aspstumpbagge (NT) </w:t>
      </w:r>
      <w:r>
        <w:t>är en rovlevande skalbagge som lever under fuktig bark, främst på relativt nyligen döda aspar med angrepp av långhorningar, men även på björk och ek, tillfälligtvis även på andra slags lövträd. Arten påverkas negativ av brist på död ved och en minskning av populationen pågår eller förväntas ske. Minskningen avser kvalitén på artens habitat och antalet lokalområden (SLU Artdatabanken, 2025).</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17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