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6353-2026 i Linköpings kommun</w:t>
      </w:r>
    </w:p>
    <w:p>
      <w:r>
        <w:t>Detta klagomål behandlar höga naturvärden i avverkningsanmälan A 6353-2026 i Linköpings kommun som inkom 2026-02-02 och omfattar 6,8 ha.</w:t>
      </w:r>
    </w:p>
    <w:p>
      <w:pPr>
        <w:pStyle w:val="Caption"/>
      </w:pPr>
      <w:r>
        <w:drawing>
          <wp:inline xmlns:a="http://schemas.openxmlformats.org/drawingml/2006/main" xmlns:pic="http://schemas.openxmlformats.org/drawingml/2006/picture">
            <wp:extent cx="5306994" cy="5724000"/>
            <wp:docPr id="1" name="Picture 1"/>
            <wp:cNvGraphicFramePr>
              <a:graphicFrameLocks noChangeAspect="1"/>
            </wp:cNvGraphicFramePr>
            <a:graphic>
              <a:graphicData uri="http://schemas.openxmlformats.org/drawingml/2006/picture">
                <pic:pic>
                  <pic:nvPicPr>
                    <pic:cNvPr id="0" name="A 6353-2026 karta.png"/>
                    <pic:cNvPicPr/>
                  </pic:nvPicPr>
                  <pic:blipFill>
                    <a:blip r:embed="rId16"/>
                    <a:stretch>
                      <a:fillRect/>
                    </a:stretch>
                  </pic:blipFill>
                  <pic:spPr>
                    <a:xfrm>
                      <a:off x="0" y="0"/>
                      <a:ext cx="5306994" cy="5724000"/>
                    </a:xfrm>
                    <a:prstGeom prst="rect"/>
                  </pic:spPr>
                </pic:pic>
              </a:graphicData>
            </a:graphic>
          </wp:inline>
        </w:drawing>
      </w:r>
    </w:p>
    <w:p>
      <w:pPr>
        <w:pStyle w:val="Caption"/>
        <w:spacing w:after="240"/>
      </w:pPr>
      <w:r>
        <w:t>Figur 1. Fyndplatser för naturvårdsarter i och inom 15 meter från avverkningsanmälan. Markörer utan svart kant är placerade på fyndplatsen. Markörer med svart kant är placerade vid sidan av fyndplatsen och har ett svart streck som visar fyndplatsens exakta position. Kartans mittpunktskoordinat är N 6441978, E 521485 i SWEREF 99 TM.</w:t>
      </w:r>
    </w:p>
    <w:p>
      <w:r>
        <w:t>I och inom 15 meter från avverkningsanmälan finns fynd av 7 naturvårdsarter, varav 4 är rödlistade, 2 är fridlysta, 3 är typiska (T) och 2 är signalarter (S): ask (EN), gulvit blekspik (VU, T), bivråk (NT, §4), grynig filtlav (NT, T), bårdlav (S, T), dvärgtufs (S) och gullviva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Gulvit blekspik (VU)</w:t>
      </w:r>
      <w:r>
        <w:t xml:space="preserve"> växer främst på öppet stående, grova ädellövträd av framförallt ask och alm samt ibland även på lönn. Arten förekommer ofta i hagmarker, lövängar, parker och i alléer. Aktuella förekomster bör skyddas, speciellt förekomster som inte växer på alm och ask. Eftersom alm- och askskottsjukan är det allvarligaste hotet är åtgärder för att motverka dessa sjukdomar mycket viktigt. Alla blekspikar av släktet </w:t>
      </w:r>
      <w:r>
        <w:rPr>
          <w:i/>
        </w:rPr>
        <w:t>Sclerophora</w:t>
      </w:r>
      <w:r>
        <w:t xml:space="preserve"> ​​​​är utmärkta signalarter för gamla träd och skogsområden med höga naturvärden. Gulvit blekspik är typisk art för </w:t>
      </w:r>
      <w:r>
        <w:rPr>
          <w:i/>
        </w:rPr>
        <w:t>9020 Nordlig ädellövskog, 9070 Trädklädd betesmark, 9180 Ädellövskog i branter</w:t>
      </w:r>
      <w:r>
        <w:t xml:space="preserve"> och </w:t>
      </w:r>
      <w:r>
        <w:rPr>
          <w:i/>
        </w:rPr>
        <w:t>6530 Lövängar</w:t>
      </w:r>
      <w:r>
        <w:t xml:space="preserve"> (SLU Artdatabanken, 2024; Nitare &amp; Skogsstyrelsen, 2019).</w:t>
      </w:r>
    </w:p>
    <w:p>
      <w:r>
        <w:rPr>
          <w:b/>
        </w:rPr>
        <w:t>Bivråk (NT, §4)</w:t>
      </w:r>
      <w:r>
        <w:t xml:space="preserve"> ingår i bilaga 1 i EU:s fågeldirektiv och är prioriterad art i Skogsvårdslagen. Den har minskat med 2/3-delar sedan 1970-talet och under de senaste 30 åren har minskningstakten uppgått till 22.5 (15–30) %. Arten häckar i tät, ogallrad skog på högproduktiv mark, i södra Sverige främst i lövskogsrika trakter, i Norrland till stor del i högproduktiv granskog, Födan består av getinglarver och -puppor, men även av fågelungar och groddjur. Bivråken påverkas negativt av avverkning och omföring av lövträdsrika marker till täta produktionsskogar av barrträd samt av den allmänna "</w:t>
      </w:r>
      <w:r>
        <w:rPr>
          <w:i/>
        </w:rPr>
        <w:t>förtorkningen</w:t>
      </w:r>
      <w:r>
        <w:t>" av landskapet genom täckdikning, dikning av skogsmark etc. Bevara lövskogar och öka andelen löv i barrskog. Gallra inte i onödan och inte alls i sumpskog. Dika inte ut vattensamlingar, sumpskogar, alkärr eller andra våta miljöer. Kring alla boplatser ska det lämnas en skyddszon vid avverkning eller andra skogliga åtgärder. Som tumregel ska skyddszonen vara så bred att boet inte syns väl från öppen mark. Minskningstakten för den svenska populationen bedöms vara nära gränsvärdet för Sårbar (VU) (SLU Artdatabanken, 2026; Skogsstyrelsen, 2016).</w:t>
      </w:r>
    </w:p>
    <w:p>
      <w:r>
        <w:rPr>
          <w:b/>
        </w:rPr>
        <w:t>Grynig filtlav (NT)</w:t>
      </w:r>
      <w:r>
        <w:t xml:space="preserve"> tillhör en grupp fuktighetskrävande, storväxta bladlavar där också bl.a. lunglav (NT) ingår. Den växer framför allt på gamla mossiga stammar av lövträd, särskilt ädellövträd samt asp och sälg, i kulturmarker, lövskogar, halvöppna och lövrika barrblandskogar i områden med hög luftfuktighet. Arten indikerar långvarig förekomst av gamla lövträd och ett mikroklimat med konstant hög och jämn luftfuktighet. Grynig filtlav är typisk art för </w:t>
      </w:r>
      <w:r>
        <w:rPr>
          <w:i/>
        </w:rPr>
        <w:t>9010 Taiga, 9020 Nordlig ädellövskog, 9110 Näringsfattig bokskog, 9130 Näringsrik bokskog, 9160 Näringsrik ekskog, 9180 Ädellövskog i branter,</w:t>
      </w:r>
      <w:r>
        <w:t xml:space="preserve"> </w:t>
      </w:r>
      <w:r>
        <w:rPr>
          <w:i/>
        </w:rPr>
        <w:t>9190 Näringsfattig ekskog</w:t>
      </w:r>
      <w:r>
        <w:t xml:space="preserve"> och </w:t>
      </w:r>
      <w:r>
        <w:rPr>
          <w:i/>
        </w:rPr>
        <w:t>9070 Trädklädd betesmark</w:t>
      </w:r>
      <w:r>
        <w:t xml:space="preserve"> (SLU Artdatabanken, 2024;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Bivråk – ekologi samt krav på livsmiljön</w:t>
      </w:r>
    </w:p>
    <w:p>
      <w:r>
        <w:t>Bivråk (NT, §4) ingår i bilaga 1 i EU:s fågeldirektiv och är prioriterad art i Skogsvårdslagen. Den har minskat med 2/3-delar sedan 1970-talet och under de senaste 30 åren har minskningstakten uppgått till 22.5 (15–30) %. Minskningstakten för den svenska populationen bedöms vara nära gränsvärdet för Sårbar (VU) (SLU Artdatabanken, 2026).</w:t>
      </w:r>
    </w:p>
    <w:p>
      <w:r>
        <w:t>Arten häckar i tät, ogallrad skog på högproduktiv mark, i södra Sverige främst i lövskogsrika trakter, i Norrland till stor del i högproduktiv granskog, Födan består av getinglarver och -puppor, men även av fågelungar och groddjur. (SLU Artdatabanken, 2026).</w:t>
      </w:r>
    </w:p>
    <w:p>
      <w:r>
        <w:t>En trolig delförklaring till minskande bivråksstammar är att det i dagens skogs- och jordbruksbygder finns ett sämre utbud av insektsrika biotoper jämfört med förhållandena för 20–40 år sedan. Minskad insektsrikedom innebär förmodligen en lägre täthet av sociala getingsamhällen och därmed sämre förutsättningar för bivråkens häckning. En allmän "</w:t>
      </w:r>
      <w:r>
        <w:rPr>
          <w:i/>
        </w:rPr>
        <w:t>förtorkning</w:t>
      </w:r>
      <w:r>
        <w:t>" av landskapet (täckdikning, dikning av skogsmark etc.) liksom omföring av lövträdsrika marker till täta produktionsskogar av barrträd medför dessutom en försämrad förekomst av tättingar (trastar etc.) och grodor, vilket sannolikt påverkar bivråken negativt. (SLU Artdatabanken, 2026).</w:t>
      </w:r>
    </w:p>
    <w:p>
      <w:r>
        <w:t>Bevara lövskogar och öka andelen löv i barrskog. Gallra inte i onödan och inte alls i sumpskog. Dika inte ut vattensamlingar, sumpskogar, alkärr eller andra våta miljöer. Kring alla boplatser ska det lämnas en skyddszon vid avverkning eller andra skogliga åtgärder. Som tumregel ska skyddszonen vara så bred att boet inte syns väl från öppen mark (SLU Artdatabanken, 2026; Skogsstyrelsen, 2016).</w:t>
      </w:r>
    </w:p>
    <w:p>
      <w:pPr>
        <w:pStyle w:val="Heading2"/>
      </w:pPr>
      <w:r>
        <w:t>Referenser – bivråk</w:t>
      </w:r>
    </w:p>
    <w:p>
      <w:r>
        <w:t xml:space="preserve">Skogsstyrelsen, 2016. </w:t>
      </w:r>
      <w:r>
        <w:rPr>
          <w:i/>
        </w:rPr>
        <w:t>Vägledning för hänsyn till bivråk.</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2026-08-23</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