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12494-2026 i Linköpings kommun</w:t>
      </w:r>
    </w:p>
    <w:p>
      <w:r>
        <w:t>Detta klagomål behandlar höga naturvärden i avverkningsanmälan A 12494-2026 i Linköpings kommun som inkom 2026-03-09 och omfattar 3,4 ha.</w:t>
      </w:r>
    </w:p>
    <w:p>
      <w:pPr>
        <w:pStyle w:val="Caption"/>
      </w:pPr>
      <w:r>
        <w:drawing>
          <wp:inline xmlns:a="http://schemas.openxmlformats.org/drawingml/2006/main" xmlns:pic="http://schemas.openxmlformats.org/drawingml/2006/picture">
            <wp:extent cx="5486400" cy="4794473"/>
            <wp:docPr id="1" name="Picture 1"/>
            <wp:cNvGraphicFramePr>
              <a:graphicFrameLocks noChangeAspect="1"/>
            </wp:cNvGraphicFramePr>
            <a:graphic>
              <a:graphicData uri="http://schemas.openxmlformats.org/drawingml/2006/picture">
                <pic:pic>
                  <pic:nvPicPr>
                    <pic:cNvPr id="0" name="A 12494-2026 karta.png"/>
                    <pic:cNvPicPr/>
                  </pic:nvPicPr>
                  <pic:blipFill>
                    <a:blip r:embed="rId16"/>
                    <a:stretch>
                      <a:fillRect/>
                    </a:stretch>
                  </pic:blipFill>
                  <pic:spPr>
                    <a:xfrm>
                      <a:off x="0" y="0"/>
                      <a:ext cx="5486400" cy="479447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6492722, E 524603 i SWEREF 99 TM.</w:t>
      </w:r>
    </w:p>
    <w:p>
      <w:r>
        <w:t>I och inom 25 meter från avverkningsanmälan finns fynd av 17 naturvårdsarter, varav 6 är rödlistade, 3 är fridlysta, 3 är typiska (T) och 9 är signalarter (S): läkeögontröst (EN, §8), slåttergubbe (VU), jungfrulin (NT), scharlakansvaxing (NT), solvända (NT), svinrot (NT), blodvaxing (S), broskvaxing (S), fällmossa (S, T), gråvaxing (S), gulvaxing (S), sotlav (S, T), sprödvaxing (S), vitvaxing agg. (S), ängsvaxing agg. (S), blåsippa (T, §9)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