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17271-2025 i Linköpings kommun</w:t>
      </w:r>
    </w:p>
    <w:p>
      <w:r>
        <w:t>Detta dokument behandlar höga naturvärden i avverkningsanmälan A 17271-2025 i Linköpings kommun. Denna avverkningsanmälan inkom 2025-04-09 00:00:00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29 naturvårdsarter hittats: ask (EN), ärtvicker (EN, §8), dvärgbägarlav (NT), ekticka (NT), grön aspvedbock (NT), grönsångare (NT, §4), rosa skärelav (NT), rutskinn (NT), spillkråka (NT, §4), svartvit flugsnappare (NT, §4), tallticka (NT), vedskivlav (NT), björksplintborre (S), blanksvart trämyra (S), ekoxe (S, §6), fällmossa (S), grov fjädermossa (S), grön sköldmossa (S, §8), guldlockmossa (S), hasselticka (S), lundbräsma (S), lönnlav (S), platt fjädermossa (S), springkorn (S), stubbspretmossa (S), svart trolldruva (S), trubbfjädermossa (S), blåsippa (§9) och gullviva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3720"/>
            <wp:docPr id="1" name="Picture 1"/>
            <wp:cNvGraphicFramePr>
              <a:graphicFrameLocks noChangeAspect="1"/>
            </wp:cNvGraphicFramePr>
            <a:graphic>
              <a:graphicData uri="http://schemas.openxmlformats.org/drawingml/2006/picture">
                <pic:pic>
                  <pic:nvPicPr>
                    <pic:cNvPr id="0" name="A 17271-2025 karta.png"/>
                    <pic:cNvPicPr/>
                  </pic:nvPicPr>
                  <pic:blipFill>
                    <a:blip r:embed="rId16"/>
                    <a:stretch>
                      <a:fillRect/>
                    </a:stretch>
                  </pic:blipFill>
                  <pic:spPr>
                    <a:xfrm>
                      <a:off x="0" y="0"/>
                      <a:ext cx="5486400" cy="4433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6448452, E 540208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Grov fjädermossa </w:t>
      </w:r>
      <w:r>
        <w:t>påträffas i gammal ädellövskog och på kalkrika bergväggar i äldre barrskog. Arten är placerad högst upp i Skogsstyrelsens värdepyramid för bedömning av skog med höga naturvärden och visar på lokaler som haft lång trädkontinuitet och stabilt mikroklimat (Nitare &amp; Skogsstyrelsen, 2019).</w:t>
      </w:r>
    </w:p>
    <w:p>
      <w:r>
        <w:rPr>
          <w:b/>
        </w:rPr>
        <w:t>Grön aspvedbock (NT)</w:t>
      </w:r>
      <w:r>
        <w:t xml:space="preserve"> är en skalbagge vars larvutveckling sker under tjock bark på nyligen döda stammar och grova grenar (&gt;5 cm diameter) av lövträd, i Sverige nästan uteslutande asp. Främsta hotet är bristen på gammal aspskog. Skogsbruket har under lång tid missgynnat asp, och det är idag på många håll ovanligt med gamla lövrika skogar. Inom skogsbruket bör man spara aspar vid röjning, gallring och slutavverkning, och därmed få andelen lövskog att öka i hela skogslandskapet. Bruket att ringbarka gamla aspar för att motverka rotskott bör upphöra (SLU Artdatabanken, 2024).</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Rosa skärelav (NT)</w:t>
      </w:r>
      <w:r>
        <w:t xml:space="preserve"> är en sällsynt skorplav som är spridd från Skåne till Lule Lappmark. I södra Sverige förekommer den i trädbärande marker med lång trädkontinuitet, framför allt på ek och i norra Sverige förekommer den i kontinuitetsskog med hög luftfuktighet, främst på sälg. Särskilt rika lokaler med rosa skärelav måste skyddas. Alla skogar med arten bör undantas från slutavverkning (SLU Artdatabanken, 2024; Nitare &amp; Skogsstyrelsen, 2019).</w:t>
      </w:r>
    </w:p>
    <w:p>
      <w:r>
        <w:rPr>
          <w:b/>
        </w:rPr>
        <w:t>Rutskinn (NT)</w:t>
      </w:r>
      <w:r>
        <w:t xml:space="preserve"> är en relativt sällsynt art som växer främst på gammal grov ek och nedfallna grenar av ek, framför allt i ekhagar, men ibland även i mera sluten ädellöv- och blandskog. För att gynna arten måste hagmarker och ädellövskog med grova ekar skyddas och skötas så att en olikåldrig struktur gynnas och de gamla träden får ersättare när de dör (SLU Artdatabanken, 2024; Nitare &amp; Skogsstyrelsen, 2019).</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ärtvicker (EN, §8), grönsångare (NT, §4), spillkråka (NT, §4), svartvit flugsnappare (NT, §4), ekoxe (S, §6), grön sköldmossa (S, §8), blåsippa (§9)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Ärtvicker (EN, §8)</w:t>
      </w:r>
      <w:r>
        <w:t xml:space="preserve"> är en av våra mest sällsynta ädellövskogsväxter och växer i stenig och snårig terräng, där trädskiktet utgörs av ädla lövträd, såsom ek, hassel och lind. Växtplatserna ligger oftast i syd/västexponerade rasbranter med lundvegetation. Arten är begärlig för kreatur, varför bete är olämpligt på lokalerna. Största hotet numera är "vårdande" röjningar i framför allt buskskiktet och skogsavverkningar. Samtliga lokaler måste skyddas och det är av största vikt är att behålla ett rikt utbildat buskskikt och förhindra avverkning av ädellövträden. Ärtvicker är rödlistad som starkt hotad och fridlyst enligt 8 § artskyddsförordningen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27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29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