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56651-2023 i Linköpings kommun</w:t>
      </w:r>
    </w:p>
    <w:p>
      <w:r>
        <w:t>Detta dokument behandlar höga naturvärden i avverkningsanmälan A 56651-2023 i Linköpings kommun. Denna avverkningsanmälan inkom 2023-11-13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gul dropplav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56651-2023 karta.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6454305, E 545809 i SWEREF 99 TM.</w:t>
      </w:r>
    </w:p>
    <w:p>
      <w:r>
        <w:rPr>
          <w:b/>
        </w:rPr>
        <w:t xml:space="preserve">Gul dropplav (NT) </w:t>
      </w:r>
      <w:r>
        <w:t>växer praktiskt taget enbart på gamla, grova ekar i öppna till halvöppna miljöer som glesa ekhagar och lövängar. Antalet gamla grova ekar har minskat och det är viktigt att hålla öppet kring stammar och kronor på grova ekar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