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11097-2026 i Linköpings kommun</w:t>
      </w:r>
    </w:p>
    <w:p>
      <w:r>
        <w:t>Detta dokument behandlar höga naturvärden i avverkningsanmälan A 11097-2026 i Linköpings kommun. Denna avverkningsanmälan inkom 2026-02-26 15:28:58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bäcksidenmossa (NT), vedtrappmossa (NT) och trubbfjädermossa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96006"/>
            <wp:docPr id="1" name="Picture 1"/>
            <wp:cNvGraphicFramePr>
              <a:graphicFrameLocks noChangeAspect="1"/>
            </wp:cNvGraphicFramePr>
            <a:graphic>
              <a:graphicData uri="http://schemas.openxmlformats.org/drawingml/2006/picture">
                <pic:pic>
                  <pic:nvPicPr>
                    <pic:cNvPr id="0" name="A 11097-2026 karta.png"/>
                    <pic:cNvPicPr/>
                  </pic:nvPicPr>
                  <pic:blipFill>
                    <a:blip r:embed="rId16"/>
                    <a:stretch>
                      <a:fillRect/>
                    </a:stretch>
                  </pic:blipFill>
                  <pic:spPr>
                    <a:xfrm>
                      <a:off x="0" y="0"/>
                      <a:ext cx="5486400" cy="7596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6448760, E 531094 i SWEREF 99 TM.</w:t>
      </w:r>
    </w:p>
    <w:p>
      <w:r>
        <w:rPr>
          <w:b/>
        </w:rPr>
        <w:t xml:space="preserve">Bäcksidenmossa (VU) </w:t>
      </w:r>
      <w:r>
        <w:t>växer på våta eller översilade skuggade stenar och jord i bergbranter, vid skogsbäckar, skogskällor samt intill vattenfall. Arten hotas av förändringar av vattenkvalitet och hydrologi i bäckar och bergbranter som utgör växtplatser. Arten är dessutom känslig för kraftig exponering genom t.ex. skogsbruksåtgärder på eller nära lokalerna. Växtplatserna bör undantas från skogsbruk och hållas under uppsikt så att inte dessa förstörs (SLU Artdatabanken, 2026).</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