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17502-2022 i Linköpings kommun</w:t>
      </w:r>
    </w:p>
    <w:p>
      <w:r>
        <w:t>Denna tillsynsbegäran behandlar höga naturvärden i avverkningsanmälan A 17502-2022 i Linköpings kommun som inkom 2022-04-28 och omfattar 4,5 ha.</w:t>
      </w:r>
    </w:p>
    <w:p>
      <w:pPr>
        <w:pStyle w:val="Caption"/>
      </w:pPr>
      <w:r>
        <w:drawing>
          <wp:inline xmlns:a="http://schemas.openxmlformats.org/drawingml/2006/main" xmlns:pic="http://schemas.openxmlformats.org/drawingml/2006/picture">
            <wp:extent cx="5450537" cy="5724000"/>
            <wp:docPr id="1" name="Picture 1"/>
            <wp:cNvGraphicFramePr>
              <a:graphicFrameLocks noChangeAspect="1"/>
            </wp:cNvGraphicFramePr>
            <a:graphic>
              <a:graphicData uri="http://schemas.openxmlformats.org/drawingml/2006/picture">
                <pic:pic>
                  <pic:nvPicPr>
                    <pic:cNvPr id="0" name="A 17502-2022 karta.png"/>
                    <pic:cNvPicPr/>
                  </pic:nvPicPr>
                  <pic:blipFill>
                    <a:blip r:embed="rId16"/>
                    <a:stretch>
                      <a:fillRect/>
                    </a:stretch>
                  </pic:blipFill>
                  <pic:spPr>
                    <a:xfrm>
                      <a:off x="0" y="0"/>
                      <a:ext cx="5450537"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6467439, E 540744 i SWEREF 99 TM.</w:t>
      </w:r>
    </w:p>
    <w:p>
      <w:r>
        <w:t>I och inom 14 meter från avverkningsanmälan finns fynd av 5 naturvårdsarter, varav 2 är rödlistade, 1 är fridlyst, 2 är typiska (T) och 2 är signalarter (S): långfotad murkla (VU), fjällig taggsvamp s.str. (NT), blåmossa (S, T), strimspindling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Långfotad murkla (VU)</w:t>
      </w:r>
      <w:r>
        <w:t xml:space="preserve"> är en nedbrytare i kraftigt murken ved i örtrik och fuktig äldre barr- och blandskog. Arten har huvudsakligen en nordlig utbredning i landet och hotas av avverkning av äldre, örtrik granskog. Lokalerna för långfotad murkla har vanligen höga naturvärden med flera rödlistade arter och bör därför skyddas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