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15856-2026 i Linköpings kommun</w:t>
      </w:r>
    </w:p>
    <w:p>
      <w:r>
        <w:t>Denna tillsynsbegäran behandlar höga naturvärden i avverkningsanmälan A 15856-2026 i Linköpings kommun som inkom 2026-03-26 och omfattar 16,2 ha.</w:t>
      </w:r>
    </w:p>
    <w:p>
      <w:pPr>
        <w:pStyle w:val="Caption"/>
      </w:pPr>
      <w:r>
        <w:drawing>
          <wp:inline xmlns:a="http://schemas.openxmlformats.org/drawingml/2006/main" xmlns:pic="http://schemas.openxmlformats.org/drawingml/2006/picture">
            <wp:extent cx="5486400" cy="4292967"/>
            <wp:docPr id="1" name="Picture 1"/>
            <wp:cNvGraphicFramePr>
              <a:graphicFrameLocks noChangeAspect="1"/>
            </wp:cNvGraphicFramePr>
            <a:graphic>
              <a:graphicData uri="http://schemas.openxmlformats.org/drawingml/2006/picture">
                <pic:pic>
                  <pic:nvPicPr>
                    <pic:cNvPr id="0" name="A 15856-2026 karta.png"/>
                    <pic:cNvPicPr/>
                  </pic:nvPicPr>
                  <pic:blipFill>
                    <a:blip r:embed="rId16"/>
                    <a:stretch>
                      <a:fillRect/>
                    </a:stretch>
                  </pic:blipFill>
                  <pic:spPr>
                    <a:xfrm>
                      <a:off x="0" y="0"/>
                      <a:ext cx="5486400" cy="4292967"/>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6443008, E 522588 i SWEREF 99 TM.</w:t>
      </w:r>
    </w:p>
    <w:p>
      <w:r>
        <w:t>I och inom 14 meter från avverkningsanmälan finns fynd av 4 naturvårdsarter, varav 2 är rödlistade, 2 är fridlysta, 1 är typisk (T) och 1 är signalart (S): järnsparv (NT, §4), svinrot (NT), granbräken (S)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