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16473-2021 i Linköpings kommun</w:t>
      </w:r>
    </w:p>
    <w:p>
      <w:r>
        <w:t>Detta dokument behandlar höga naturvärden i avverkningsanmälan A 16473-2021 i Linköpings kommun. Denna avverkningsanmälan inkom 2021-04-07 och omfattar 6,5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7 naturvårdsarter hittats: bombmurkla (VU, §8), gyllensopp (VU), persiljespindling (NT), tallticka (NT), mandelriska (S), trådticka (S) och blåsippa (§9).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84670"/>
            <wp:docPr id="1" name="Picture 1"/>
            <wp:cNvGraphicFramePr>
              <a:graphicFrameLocks noChangeAspect="1"/>
            </wp:cNvGraphicFramePr>
            <a:graphic>
              <a:graphicData uri="http://schemas.openxmlformats.org/drawingml/2006/picture">
                <pic:pic>
                  <pic:nvPicPr>
                    <pic:cNvPr id="0" name="A 16473-2021 karta.png"/>
                    <pic:cNvPicPr/>
                  </pic:nvPicPr>
                  <pic:blipFill>
                    <a:blip r:embed="rId16"/>
                    <a:stretch>
                      <a:fillRect/>
                    </a:stretch>
                  </pic:blipFill>
                  <pic:spPr>
                    <a:xfrm>
                      <a:off x="0" y="0"/>
                      <a:ext cx="5486400" cy="448467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6469771, E 539061 i SWEREF 99 TM.</w:t>
      </w:r>
    </w:p>
    <w:p>
      <w:r>
        <w:rPr>
          <w:b/>
        </w:rPr>
        <w:t xml:space="preserve">Gyllensopp (VU) </w:t>
      </w:r>
      <w:r>
        <w:t>är en värmekrävande art som bildar mykorrhiza med ek i gläntor, bryn och gles ekskog, gärna i betade ekhagar liksom med bok i bokskogar med lång kontinuitet. Troligen är den kalkgynnad. Avverkning av värdträd samt nedläggning av bete med åtföljande igenväxning är negativt för arten. Ekskogar och ekhagar får inte avverkas eller tillåtas att växa igen eller planteras med barrskog (SLU Artdatabanken, 2024).</w:t>
      </w:r>
    </w:p>
    <w:p>
      <w:r>
        <w:rPr>
          <w:b/>
        </w:rPr>
        <w:t>Persiljespindling (NT)</w:t>
      </w:r>
      <w:r>
        <w:t xml:space="preserve"> bildar mykorrhiza med tall, gran och bok i ängsgranskog, kalktallskog och i ängsbokskog på rikare mark. Minskningstakten uppgår till 15 % inom 50 år och bedöms vara nära gränsvärdet för Sårbar (VU). (A2c+3c+4c). Persiljespindlingen hotas av avverkningar och är särskilt känslig eftersom den är knuten till äldre, produktiv barrskog, d.v.s. en skogstyp som är en bristvara i skyddade områden i Sverige och som samtidigt försvinner i snabb takt genom slutavverkningar. Skyddet för äldre ört- och kalkrika barrskogar med trädkontinuitet måste öka och oskyddade bokskogar med persiljespindling måste få ett formellt skydd i form av biotopskydd eller naturreservat (SLU Artdatabanken, 2024).</w:t>
      </w:r>
    </w:p>
    <w:p>
      <w:r>
        <w:rPr>
          <w:b/>
        </w:rPr>
        <w:t xml:space="preserve">Tallticka (NT) </w:t>
      </w:r>
      <w:r>
        <w:t>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(SLU Artdatabanken, 2023; Nitare &amp; Skogsstyrelsen, 2019).</w:t>
      </w:r>
    </w:p>
    <w:p>
      <w:pPr>
        <w:pStyle w:val="Heading1"/>
      </w:pPr>
      <w:r>
        <w:t>Fridlysta arter</w:t>
      </w:r>
    </w:p>
    <w:p>
      <w:r>
        <w:t>Följande fridlysta arter har sina livsmiljöer och växtplatser i den avverkningsanmälda skogen: bombmurkla (VU, §8) och blåsippa (§9).</w:t>
      </w:r>
    </w:p>
    <w:p>
      <w:r>
        <w:rPr>
          <w:b/>
        </w:rPr>
        <w:t xml:space="preserve">Bombmurkla (VU, §8) </w:t>
      </w:r>
      <w:r>
        <w:t>indikerar en speciell och hotad granskogstyp på naturligt näringsrika sandjordar och är placerad högst upp i Skogsstyrelsens värdepyramid för bedömning av skog med höga naturvärden. Den tål inte slutavverkning eller kraftig gallring och är endast påträffad i områden som har långvarig skogskontinuitet med gran. Bombmurkla är fridlyst enligt 8 § artskyddsförordningen, omfattas av åtgärdsprogram för hotade arter (ÅGP) och är globalt rödlistad som nära hotad (NT). Sverige har ojämförligt flest växtplatser kvar av den europeiska populationen, vilket medför att vårt land har ett internationellt ansvar för artens fortlevnad (IUCN, 2024; SLU Artdatabanken, 2024; Nitare &amp; Skogsstyrelsen, 2019; Naturvårdsverket, 2010).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