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4256-2022 i Linköpings kommun</w:t>
      </w:r>
    </w:p>
    <w:p>
      <w:r>
        <w:t>Detta klagomål behandlar höga naturvärden i avverkningsanmälan A 4256-2022 i Linköpings kommun som inkom 2022-01-27 och omfattar 1,4 ha.</w:t>
      </w:r>
    </w:p>
    <w:p>
      <w:pPr>
        <w:pStyle w:val="Caption"/>
      </w:pPr>
      <w:r>
        <w:drawing>
          <wp:inline xmlns:a="http://schemas.openxmlformats.org/drawingml/2006/main" xmlns:pic="http://schemas.openxmlformats.org/drawingml/2006/picture">
            <wp:extent cx="5486400" cy="4513832"/>
            <wp:docPr id="1" name="Picture 1"/>
            <wp:cNvGraphicFramePr>
              <a:graphicFrameLocks noChangeAspect="1"/>
            </wp:cNvGraphicFramePr>
            <a:graphic>
              <a:graphicData uri="http://schemas.openxmlformats.org/drawingml/2006/picture">
                <pic:pic>
                  <pic:nvPicPr>
                    <pic:cNvPr id="0" name="A 4256-2022 karta.png"/>
                    <pic:cNvPicPr/>
                  </pic:nvPicPr>
                  <pic:blipFill>
                    <a:blip r:embed="rId16"/>
                    <a:stretch>
                      <a:fillRect/>
                    </a:stretch>
                  </pic:blipFill>
                  <pic:spPr>
                    <a:xfrm>
                      <a:off x="0" y="0"/>
                      <a:ext cx="5486400" cy="45138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6481067, E 528424 i SWEREF 99 TM.</w:t>
      </w:r>
    </w:p>
    <w:p>
      <w:r>
        <w:t>I avverkningsanmälan finns fynd av 5 naturvårdsarter, varav 5 är rödlistade och 3 är fridlysta: stare (VU, §4), asksolvecklare (NT), gulsparv (NT, §4), klubbsprötad bastardsvärmare (NT) och ladusvala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Asksolvecklare (NT)</w:t>
      </w:r>
      <w:r>
        <w:t xml:space="preserve"> är en mycket lokal art knuten till alléer och äldre skog med ask i soliga lägen. Fjärilen flyger i maj till mitten av juni, även om dagen, högt uppe i trädkronorna. Larven lever under barken på ask. Skogsdikning och utgallring av ask bör undvikas på lokaler där asksolvecklare och andra hotade arter, som är beroende av ask förekommer. Viktigt är att bevara gamla askar med väl utvecklad bark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