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ärtvicker (EN, §8), dvärgbägarlav (NT), svartvit flugsnappare (NT, §4), tallticka (NT), blanksvart trämyra (S), ekoxe (S, §6), fällmossa (S), grov fjädermossa (S), lundbräsma (S), platt fjädermossa (S), springkorn (S), svart trolldruva (S)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ärtvicker (EN, §8), svartvit flugsnappare (NT, §4), ekoxe (S,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rödlistad som starkt hotad och fridlyst enligt 8 § artskyddsförordningen. Samtliga lokaler måste skyddas och det är av största vikt är att behålla ett rikt utbildat buskskikt och förhindra avverkning av ädellövträden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