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15290-2025 i Linköpings kommun</w:t>
      </w:r>
    </w:p>
    <w:p>
      <w:r>
        <w:t>Detta dokument behandlar höga naturvärden i avverkningsanmälan A 15290-2025 i Linköpings kommun. Denna avverkningsanmälan inkom 2025-03-29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4069"/>
            <wp:docPr id="1" name="Picture 1"/>
            <wp:cNvGraphicFramePr>
              <a:graphicFrameLocks noChangeAspect="1"/>
            </wp:cNvGraphicFramePr>
            <a:graphic>
              <a:graphicData uri="http://schemas.openxmlformats.org/drawingml/2006/picture">
                <pic:pic>
                  <pic:nvPicPr>
                    <pic:cNvPr id="0" name="A 15290-2025 karta.png"/>
                    <pic:cNvPicPr/>
                  </pic:nvPicPr>
                  <pic:blipFill>
                    <a:blip r:embed="rId16"/>
                    <a:stretch>
                      <a:fillRect/>
                    </a:stretch>
                  </pic:blipFill>
                  <pic:spPr>
                    <a:xfrm>
                      <a:off x="0" y="0"/>
                      <a:ext cx="5486400" cy="555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6452022, E 541572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