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46692-2024 i Norrköpings kommun</w:t>
      </w:r>
    </w:p>
    <w:p>
      <w:r>
        <w:t>Denna tillsynsbegäran behandlar höga naturvärden i avverkningsanmälan A 46692-2024 i Norrköpings kommun som inkom 2024-10-18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18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9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6511889, E 571679 i SWEREF 99 TM.</w:t>
      </w:r>
    </w:p>
    <w:p>
      <w:r>
        <w:t>I avverkningsanmälan finns fynd av 2 naturvårdsarter, varav 1 är rödlistad, 2 är typiska (T) och 1 är signalart (S): dvärgbägarlav (NT, T) och flagellkvastmossa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Flagellkvastmossa</w:t>
      </w:r>
      <w:r>
        <w:t xml:space="preserve"> förekommer framför allt i tallsumpskog, men finns även i relativt torra gran- och tallskogar. Den signalerar överallt skogsmiljöer med höga naturvärden och indikerar biotoper med rik och kontinuerlig förekomst av död ved i olika nedbrytningsstadier eller barlagd torvjord. Flagellkvastmossa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9740 Skogsbevuxen myr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