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44688-2025 i Norrköpings kommun</w:t>
      </w:r>
    </w:p>
    <w:p>
      <w:r>
        <w:t>Denna tillsynsbegäran behandlar höga naturvärden i avverkningsanmälan A 44688-2025 i Norrköpings kommun som inkom 2025-09-17 och omfattar 4,9 ha.</w:t>
      </w:r>
    </w:p>
    <w:p>
      <w:pPr>
        <w:pStyle w:val="Caption"/>
      </w:pPr>
      <w:r>
        <w:drawing>
          <wp:inline xmlns:a="http://schemas.openxmlformats.org/drawingml/2006/main" xmlns:pic="http://schemas.openxmlformats.org/drawingml/2006/picture">
            <wp:extent cx="5486400" cy="5582553"/>
            <wp:docPr id="1" name="Picture 1"/>
            <wp:cNvGraphicFramePr>
              <a:graphicFrameLocks noChangeAspect="1"/>
            </wp:cNvGraphicFramePr>
            <a:graphic>
              <a:graphicData uri="http://schemas.openxmlformats.org/drawingml/2006/picture">
                <pic:pic>
                  <pic:nvPicPr>
                    <pic:cNvPr id="0" name="A 44688-2025 karta.png"/>
                    <pic:cNvPicPr/>
                  </pic:nvPicPr>
                  <pic:blipFill>
                    <a:blip r:embed="rId16"/>
                    <a:stretch>
                      <a:fillRect/>
                    </a:stretch>
                  </pic:blipFill>
                  <pic:spPr>
                    <a:xfrm>
                      <a:off x="0" y="0"/>
                      <a:ext cx="5486400" cy="5582553"/>
                    </a:xfrm>
                    <a:prstGeom prst="rect"/>
                  </pic:spPr>
                </pic:pic>
              </a:graphicData>
            </a:graphic>
          </wp:inline>
        </w:drawing>
      </w:r>
    </w:p>
    <w:p>
      <w:pPr>
        <w:pStyle w:val="Caption"/>
        <w:spacing w:after="240"/>
      </w:pPr>
      <w:r>
        <w:t>Figur 1. Fyndplatser för naturvårdsarter i och inom 15 meter från avverkningsanmälan. Markörer utan svart kant är placerade på fyndplatsen. Markörer med svart kant är placerade vid sidan av fyndplatsen och har ett svart streck som visar fyndplatsens exakta position. Kartans mittpunktskoordinat är N 6507749, E 567668 i SWEREF 99 TM.</w:t>
      </w:r>
    </w:p>
    <w:p>
      <w:r>
        <w:t>I och inom 15 meter från avverkningsanmälan finns fynd av 14 naturvårdsarter, varav 7 är rödlistade, 3 är fridlysta, 12 är typiska (T) och 6 är signalarter (S): gränsticka (VU, T), knärot (VU, T, §8), dropptaggsvamp (NT, T), motaggsvamp (NT, T), orange taggsvamp (NT, T), svart taggsvamp (NT), tallticka (NT, T), blomkålssvamp (S), bronshjon (S, T), flagellkvastmossa (S, T), grovticka (S, T), grön sköldmossa (S, T, §8), grönpyrola (S, T) och blåsippa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14 fyndplatser för knärot registrerade på Artportalen. Figur 2 visar gränserna för buffertzoner på 50 m, som behöver lämnas kring fyndplatserna för att knärotslokalerna inte ska försvinna vid en avverkning. Av det avverkningsanmälda området överlappar 1.56 ha med buffertzonerna och får av detta skäl inte avverkas.</w:t>
      </w:r>
    </w:p>
    <w:p>
      <w:pPr>
        <w:pStyle w:val="Caption"/>
      </w:pPr>
      <w:r>
        <w:drawing>
          <wp:inline xmlns:a="http://schemas.openxmlformats.org/drawingml/2006/main" xmlns:pic="http://schemas.openxmlformats.org/drawingml/2006/picture">
            <wp:extent cx="5486400" cy="5337456"/>
            <wp:docPr id="2" name="Picture 2"/>
            <wp:cNvGraphicFramePr>
              <a:graphicFrameLocks noChangeAspect="1"/>
            </wp:cNvGraphicFramePr>
            <a:graphic>
              <a:graphicData uri="http://schemas.openxmlformats.org/drawingml/2006/picture">
                <pic:pic>
                  <pic:nvPicPr>
                    <pic:cNvPr id="0" name="A 44688-2025 karta knärot.png"/>
                    <pic:cNvPicPr/>
                  </pic:nvPicPr>
                  <pic:blipFill>
                    <a:blip r:embed="rId17"/>
                    <a:stretch>
                      <a:fillRect/>
                    </a:stretch>
                  </pic:blipFill>
                  <pic:spPr>
                    <a:xfrm>
                      <a:off x="0" y="0"/>
                      <a:ext cx="5486400" cy="5337456"/>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6507749, E 567668 i SWEREF 99 TM.</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Svart taggsvamp (NT)</w:t>
      </w:r>
      <w:r>
        <w:t xml:space="preserve"> bildar mykorrhiza med tall, möjligen även med gran, i barrskog på kalkrik eller annan basiskt påverkad mark. Den totala populationen i landet har minskat och bedöms fortsätta minska till följd av avverkning av kalkbarrskogar. Arten har begränsad förmåga att återetablera sig efter slutavverkning eller andra storskaliga skogsbruksåtgärder. Det finns inga indikationer på att arten långsiktigt kan etablera eller reproducera sig i skogsbestånd som brukas med trakthyggesmetoder, markberedning, gödsling eller föryngring med förädlat plantmaterial. Minskningstakten uppgår till 25 (15–50) % inom 50 år och bedöms vara nära gränsvärdet för sårbar (VU) (SLU Artdatabanken, 2026).</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Flagellkvastmossa</w:t>
      </w:r>
      <w:r>
        <w:t xml:space="preserve"> förekommer framför allt i tallsumpskog, men finns även i relativt torra gran- och tallskogar. Den signalerar överallt skogsmiljöer med höga naturvärden och indikerar biotoper med rik och kontinuerlig förekomst av död ved i olika nedbrytningsstadier eller barlagd torvjord. Flagellkvastmossa är typisk art för </w:t>
      </w:r>
      <w:r>
        <w:rPr>
          <w:i/>
        </w:rPr>
        <w:t xml:space="preserve">9010 Taiga </w:t>
      </w:r>
      <w:r>
        <w:t>och</w:t>
      </w:r>
      <w:r>
        <w:rPr>
          <w:i/>
        </w:rPr>
        <w:t xml:space="preserve"> 9740 Skogsbevuxen myr </w:t>
      </w:r>
      <w:r>
        <w:t>(SLU Artdatabanken, 2024; Nitare &amp; Skogsstyrelsen, 2019).</w:t>
      </w:r>
    </w:p>
    <w:p>
      <w:r>
        <w:rPr>
          <w:b/>
        </w:rPr>
        <w:t>Grovticka</w:t>
      </w:r>
      <w:r>
        <w:t xml:space="preserve"> är i skogslandskapet främst knuten till naturskogsartad äldre barrskog. Den är där en värdefull ”gammelskogsindikator” och påträffas mest vid tallar som är över 200 år gamla.  Grovticka är typisk art för </w:t>
      </w:r>
      <w:r>
        <w:rPr>
          <w:i/>
        </w:rPr>
        <w:t xml:space="preserve">9060 Åsbarrskog </w:t>
      </w:r>
      <w:r>
        <w:t>(Nitare &amp; Skogsstyrelsen, 2019; SLU Artdatabanken, 2025).</w:t>
      </w:r>
    </w:p>
    <w:p>
      <w:r>
        <w:rPr>
          <w:b/>
        </w:rPr>
        <w:t>Grön sköldmossa (§8)</w:t>
      </w:r>
      <w:r>
        <w:t xml:space="preserve"> är typisk art för </w:t>
      </w:r>
      <w:r>
        <w:rPr>
          <w:i/>
        </w:rPr>
        <w:t xml:space="preserve">9010 Taiga </w:t>
      </w:r>
      <w:r>
        <w:t>och</w:t>
      </w:r>
      <w:r>
        <w:rPr>
          <w:i/>
        </w:rPr>
        <w:t xml:space="preserve"> 9750 Svämlövskog</w:t>
      </w:r>
      <w:r>
        <w:t xml:space="preserve"> och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&amp; Skogsstyrelsen, 2019; SLU Artdatabanken, 2025).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gränsticka (VU, T), knärot (VU, T, §8), dropptaggsvamp (NT, T), motaggsvamp (NT, T), orange taggsvamp (NT, T), tallticka (NT, T), bronshjon (S, T), flagellkvastmossa (S, T), grovticka (S, T), grön sköldmossa (S, T, §8), grönpyrola (S, T) och blåsippa (T, §9).</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Grön sköldmossa – ekologi samt krav på livsmiljön</w:t>
      </w:r>
    </w:p>
    <w:p>
      <w:r>
        <w:t>Grön sköldmossa (§8) växer på stubbar och lågor av olika trädslag, huvudsakligen i sena nedbrytningsstadier. Den förekommer främst i näringsrika granskogar med stort inslag av löv, arten är kortlivad och antalet kapslar varierar kraftigt mellan olika år. Grön sköldmossa kräver skog som har ett speciellt mikroklimat med hög och jämn luftfuktighet i kombination med rik tillgång på död ved (SLU Artdatabanken, 2021; Nitare &amp; Skogsstyrelsen, 2019).</w:t>
      </w:r>
    </w:p>
    <w:p>
      <w:r>
        <w:t>Arten har sin huvudutbredning i sydöstra Sverige. Allvarligaste hoten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 I praktiken handlar det om åtminstone 50 meter med skyddande skog för att undvika uttorkning av marken (Hallingbäck, personligt meddelande 2022-02-24).</w:t>
      </w:r>
    </w:p>
    <w:p>
      <w:r>
        <w:t xml:space="preserve">Grön sköldmossa är typisk art för </w:t>
      </w:r>
      <w:r>
        <w:rPr>
          <w:i/>
        </w:rPr>
        <w:t xml:space="preserve">9010 Taiga </w:t>
      </w:r>
      <w:r>
        <w:t>och</w:t>
      </w:r>
      <w:r>
        <w:rPr>
          <w:i/>
        </w:rPr>
        <w:t xml:space="preserve"> 9750 Svämlövskog</w:t>
      </w:r>
      <w:r>
        <w:t>, fridlyst enligt 8§ artskyddsförordningen och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Fridlysningen enligt §§ 8 och 15 Artskyddsförordningen innebär att det är förbjudet att på något sätt skada exemplar av arten, se artskyddsförordningen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2 till art- och habitatdirektivet.</w:t>
      </w:r>
    </w:p>
    <w:p>
      <w:r>
        <w:t>Mark- och miljööverdomstolen (MÖD) har i mål nr M 2019-20 (18 februari 2019) slagit fast att grön sköldmossa (§8) är dispenspliktig och att exemplar av arten inte får skadas utan dispens (MÖD, mål nr M 2019-20).</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