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212-2025 i Norrköpings kommun</w:t>
      </w:r>
    </w:p>
    <w:p>
      <w:r>
        <w:t>Denna tillsynsbegäran behandlar höga naturvärden i samrådsanmälan S 212-2025 i Norrköpings kommun som inkom 2025-01-22 och omfattar 109,8 ha.</w:t>
      </w:r>
    </w:p>
    <w:p>
      <w:pPr>
        <w:pStyle w:val="Caption"/>
      </w:pPr>
      <w:r>
        <w:drawing>
          <wp:inline xmlns:a="http://schemas.openxmlformats.org/drawingml/2006/main" xmlns:pic="http://schemas.openxmlformats.org/drawingml/2006/picture">
            <wp:extent cx="5486400" cy="4715287"/>
            <wp:docPr id="1" name="Picture 1"/>
            <wp:cNvGraphicFramePr>
              <a:graphicFrameLocks noChangeAspect="1"/>
            </wp:cNvGraphicFramePr>
            <a:graphic>
              <a:graphicData uri="http://schemas.openxmlformats.org/drawingml/2006/picture">
                <pic:pic>
                  <pic:nvPicPr>
                    <pic:cNvPr id="0" name="S 212-2025 karta.png"/>
                    <pic:cNvPicPr/>
                  </pic:nvPicPr>
                  <pic:blipFill>
                    <a:blip r:embed="rId16"/>
                    <a:stretch>
                      <a:fillRect/>
                    </a:stretch>
                  </pic:blipFill>
                  <pic:spPr>
                    <a:xfrm>
                      <a:off x="0" y="0"/>
                      <a:ext cx="5486400" cy="4715287"/>
                    </a:xfrm>
                    <a:prstGeom prst="rect"/>
                  </pic:spPr>
                </pic:pic>
              </a:graphicData>
            </a:graphic>
          </wp:inline>
        </w:drawing>
      </w:r>
    </w:p>
    <w:p>
      <w:pPr>
        <w:pStyle w:val="Caption"/>
        <w:spacing w:after="240"/>
      </w:pPr>
      <w:r>
        <w:t>Figur 1. Fyndplatser för naturvårdsarter inom 24 meter från samrådsanmälan. Markörer utan svart kant är placerade på fyndplatsen. Markörer med svart kant är placerade vid sidan av fyndplatsen och har ett svart streck som visar fyndplatsens exakta position. Kartans mittpunktskoordinat är N 6508301, E 556947 i SWEREF 99 TM.</w:t>
      </w:r>
    </w:p>
    <w:p>
      <w:r>
        <w:t>Inom 24 meter från samrådsanmälan finns fynd av 8 naturvårdsarter, varav 5 är rödlistade, 4 är fridlysta, 6 är typiska (T) och 1 är signalart (S): grynig filtlav (NT, T), gulsparv (NT, §4), motaggsvamp (NT, T), tallticka (NT, T), talltita (NT, §4), stekelbock (S, T), järpe (T, §4)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Stekelbock</w:t>
      </w:r>
      <w:r>
        <w:t xml:space="preserve"> är knuten till äldre och gärna glesa lövskogar, och gynnas starkt av skogsbrand. Skalbaggens larvutveckling sker i ganska hård, solexponerad död ved i stående stammar av lövträd, främst björk, asp och al. Fullbildade individer påträffas i juni-augusti på lämplig ved eller i blommor av t.ex. strätta, fläder eller älggräs. Stekelbock är typisk art för </w:t>
      </w:r>
      <w:r>
        <w:rPr>
          <w:i/>
        </w:rPr>
        <w:t xml:space="preserve">9010 Taiga </w:t>
      </w:r>
      <w:r>
        <w:t>(SLU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Mattlummer (§9)</w:t>
      </w:r>
      <w:r>
        <w:t xml:space="preserve">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grynig filtlav (NT, T), motaggsvamp (NT, T), tallticka (NT, T), stekelbock (S, T), järpe (T, §4) och mattlummer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