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37730-2025 i Norrköpings kommun</w:t>
      </w:r>
    </w:p>
    <w:p>
      <w:r>
        <w:t>Detta klagomål behandlar höga naturvärden i avverkningsanmälan A 37730-2025 i Norrköpings kommun som inkom 2025-08-11 och omfattar 4,2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37730-2025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6515852, E 567328 i SWEREF 99 TM.</w:t>
      </w:r>
    </w:p>
    <w:p>
      <w:r>
        <w:t>I och inom 21 meter från avverkningsanmälan finns fynd av 9 naturvårdsarter, varav 7 är rödlistade, 1 är fridlyst, 6 är typiska (T) och 1 är signalart (S): blek kryptolav (NT), kandelabersvamp (NT, T), motaggsvamp (NT, T), skogsklocka (NT), svinrot (NT), tallticka (NT, T), vippärt (NT, T), stekelbock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kryptolav (NT)</w:t>
      </w:r>
      <w:r>
        <w:t xml:space="preserve"> växer på fuktiga och förmultnande lågor och stubbar i skog. Endast ett fåtal fynd har gjorts, men mörkertalet kan vara stort. Lokalerna bör skyddas. Man bör se till att gamla stubbar och lågor alltid finns tillgängliga på lokalerna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