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4820-2026 i Norrköpings kommun</w:t>
      </w:r>
    </w:p>
    <w:p>
      <w:r>
        <w:t>Denna tillsynsbegäran behandlar höga naturvärden i avverkningsanmälan A 4820-2026 i Norrköpings kommun som inkom 2026-01-26 och omfattar 5,9 ha.</w:t>
      </w:r>
    </w:p>
    <w:p>
      <w:pPr>
        <w:pStyle w:val="Caption"/>
      </w:pPr>
      <w:r>
        <w:drawing>
          <wp:inline xmlns:a="http://schemas.openxmlformats.org/drawingml/2006/main" xmlns:pic="http://schemas.openxmlformats.org/drawingml/2006/picture">
            <wp:extent cx="4107118" cy="5724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410711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6478712, E 600610 i SWEREF 99 TM.</w:t>
      </w:r>
    </w:p>
    <w:p>
      <w:r>
        <w:t>Inom 7 meter från avverkningsanmälan finns fynd av 5 naturvårdsarter, varav 4 är rödlistade, 2 är typiska (T) och 1 är signalart (S): gammelekslav (NT, T), gul dropplav (NT), skuggorangelav (NT), tallticka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