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34644-2023 i Norrköpings kommun</w:t>
      </w:r>
    </w:p>
    <w:p>
      <w:r>
        <w:t>Detta klagomål behandlar höga naturvärden i avverkningsanmälan A 34644-2023 i Norrköpings kommun som inkom 2023-08-01 och omfattar 8,3 ha.</w:t>
      </w:r>
    </w:p>
    <w:p>
      <w:pPr>
        <w:pStyle w:val="Caption"/>
      </w:pPr>
      <w:r>
        <w:drawing>
          <wp:inline xmlns:a="http://schemas.openxmlformats.org/drawingml/2006/main" xmlns:pic="http://schemas.openxmlformats.org/drawingml/2006/picture">
            <wp:extent cx="5486400" cy="4585198"/>
            <wp:docPr id="1" name="Picture 1"/>
            <wp:cNvGraphicFramePr>
              <a:graphicFrameLocks noChangeAspect="1"/>
            </wp:cNvGraphicFramePr>
            <a:graphic>
              <a:graphicData uri="http://schemas.openxmlformats.org/drawingml/2006/picture">
                <pic:pic>
                  <pic:nvPicPr>
                    <pic:cNvPr id="0" name="A 34644-2023 karta.png"/>
                    <pic:cNvPicPr/>
                  </pic:nvPicPr>
                  <pic:blipFill>
                    <a:blip r:embed="rId16"/>
                    <a:stretch>
                      <a:fillRect/>
                    </a:stretch>
                  </pic:blipFill>
                  <pic:spPr>
                    <a:xfrm>
                      <a:off x="0" y="0"/>
                      <a:ext cx="5486400" cy="458519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6509903, E 575504 i SWEREF 99 TM.</w:t>
      </w:r>
    </w:p>
    <w:p>
      <w:r>
        <w:t>I och inom 11 meter från avverkningsanmälan finns fynd av 12 naturvårdsarter, varav 5 är rödlistade, 2 är fridlysta, 9 är typiska (T) och 5 är signalarter (S): dropptaggsvamp (NT, T), kavelhirs (NT), motaggsvamp (NT, T), tallticka (NT, T), vedskivlav (NT, T), blåmossa (S, T), granbarkgnagare (S, T), grönpyrola (S, T), mindre märgborre (S, T), västlig hakmossa (S), spillkråka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