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21683-2025 i Norrköpings kommun</w:t>
      </w:r>
    </w:p>
    <w:p>
      <w:r>
        <w:t>Denna tillsynsbegäran behandlar höga naturvärden i avverkningsanmälan A 21683-2025 i Norrköpings kommun som inkom 2025-05-06 och omfattar 1,9 ha.</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21683-2025 karta.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6516535, E 566264 i SWEREF 99 TM.</w:t>
      </w:r>
    </w:p>
    <w:p>
      <w:r>
        <w:t>I och inom 25 meter från avverkningsanmälan finns fynd av 13 naturvårdsarter, varav 11 är rödlistade, 2 är fridlysta, 12 är typiska (T) och 1 är signalart (S): knärot (VU, T, §8), lakritsmusseron (VU, T), blå taggsvamp (NT, T), dropptaggsvamp (NT, T), dvärgbägarlav (NT, T), gropticka (NT, T), kolflarnlav (NT, T), motaggsvamp (NT, T), orange taggsvamp (NT, T), ullticka (NT, T), vedskivlav (NT, T), blomkålssvamp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21095"/>
            <wp:docPr id="2" name="Picture 2"/>
            <wp:cNvGraphicFramePr>
              <a:graphicFrameLocks noChangeAspect="1"/>
            </wp:cNvGraphicFramePr>
            <a:graphic>
              <a:graphicData uri="http://schemas.openxmlformats.org/drawingml/2006/picture">
                <pic:pic>
                  <pic:nvPicPr>
                    <pic:cNvPr id="0" name="A 21683-2025 karta knärot.png"/>
                    <pic:cNvPicPr/>
                  </pic:nvPicPr>
                  <pic:blipFill>
                    <a:blip r:embed="rId17"/>
                    <a:stretch>
                      <a:fillRect/>
                    </a:stretch>
                  </pic:blipFill>
                  <pic:spPr>
                    <a:xfrm>
                      <a:off x="0" y="0"/>
                      <a:ext cx="5486400" cy="45210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6516535, E 566264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lakritsmusseron (VU, T), blå taggsvamp (NT, T), dropptaggsvamp (NT, T), dvärgbägarlav (NT, T), gropticka (NT, T), kolflarnlav (NT, T), motaggsvamp (NT, T), orange taggsvamp (NT, T), ullticka (NT, T),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