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11085-2025 i Norrköpings kommun</w:t>
      </w:r>
    </w:p>
    <w:p>
      <w:r>
        <w:t>Denna tillsynsbegäran behandlar höga naturvärden i avverkningsanmälan A 11085-2025 i Norrköpings kommun som inkom 2025-03-07 och omfattar 1,9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11085-2025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6509698, E 567693 i SWEREF 99 TM.</w:t>
      </w:r>
    </w:p>
    <w:p>
      <w:r>
        <w:t>I och inom 20 meter från avverkningsanmälan finns fynd av 17 naturvårdsarter, varav 12 är rödlistade, 6 är fridlysta och 7 är typiska (T): bredbrämad bastardsvärmare (VU), brunfläckig pärlemorfjäril (VU), knärot (VU, T, §8), mindre bastardsvärmare (VU), sexfläckig bastardsvärmare (VU), silverblåvinge (VU), dropptaggsvamp (NT, T), motaggsvamp (NT, T), scharlakansvaxing (NT), tallticka (NT, T), talltita (NT, §4), vitfläckig guldvinge (NT), nattskärra (T, §4), spillkråka (T, §4), ängskovall (T), huggorm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6310444"/>
            <wp:docPr id="2" name="Picture 2"/>
            <wp:cNvGraphicFramePr>
              <a:graphicFrameLocks noChangeAspect="1"/>
            </wp:cNvGraphicFramePr>
            <a:graphic>
              <a:graphicData uri="http://schemas.openxmlformats.org/drawingml/2006/picture">
                <pic:pic>
                  <pic:nvPicPr>
                    <pic:cNvPr id="0" name="A 11085-2025 karta knärot.png"/>
                    <pic:cNvPicPr/>
                  </pic:nvPicPr>
                  <pic:blipFill>
                    <a:blip r:embed="rId17"/>
                    <a:stretch>
                      <a:fillRect/>
                    </a:stretch>
                  </pic:blipFill>
                  <pic:spPr>
                    <a:xfrm>
                      <a:off x="0" y="0"/>
                      <a:ext cx="5486400" cy="6310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6509698, E 567693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tallticka (NT, T), nattskärra (T, §4), spillkråka (T, §4)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