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11516-2021 i Norrköpings kommun</w:t>
      </w:r>
    </w:p>
    <w:p>
      <w:r>
        <w:t>Detta dokument behandlar höga naturvärden i avverkningsanmälan A 11516-2021 i Norrköpings kommun. Denna avverkningsanmälan inkom 2021-03-09 00:00:00 och omfattar 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aspgelélav (VU), knärot (VU, §8), ostticka (VU), gränsticka (NT), ullticka (NT), bronshjon (S), fällmossa (S), guldlockmossa (S), gulnål (S), kattfotslav (S), mörk husmossa (S), platt fjädermossa (S) och vedticka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36257"/>
            <wp:docPr id="1" name="Picture 1"/>
            <wp:cNvGraphicFramePr>
              <a:graphicFrameLocks noChangeAspect="1"/>
            </wp:cNvGraphicFramePr>
            <a:graphic>
              <a:graphicData uri="http://schemas.openxmlformats.org/drawingml/2006/picture">
                <pic:pic>
                  <pic:nvPicPr>
                    <pic:cNvPr id="0" name="A 11516-2021 karta.png"/>
                    <pic:cNvPicPr/>
                  </pic:nvPicPr>
                  <pic:blipFill>
                    <a:blip r:embed="rId16"/>
                    <a:stretch>
                      <a:fillRect/>
                    </a:stretch>
                  </pic:blipFill>
                  <pic:spPr>
                    <a:xfrm>
                      <a:off x="0" y="0"/>
                      <a:ext cx="5486400" cy="61362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6507641, E 565333 i SWEREF 99 TM.</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(SLU Artdatabanken, 2024).</w:t>
      </w:r>
    </w:p>
    <w:p>
      <w:r>
        <w:rPr>
          <w:b/>
        </w:rPr>
        <w:t>Fällmossa</w:t>
      </w:r>
      <w:r>
        <w:t xml:space="preserve"> indikerar i stort sett alltid områden med höga naturvärden, skog med lång kontinuitet, gamla träd, hög luftfuktighet och stabila förhållanden. Sporkapslar finnar man enbart på extra skyddsvärda lokaler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Kattfotslav </w:t>
      </w:r>
      <w:r>
        <w:t>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1.23 ha med buffertzonerna och får av detta skäl inte avverkas.</w:t>
      </w:r>
    </w:p>
    <w:p>
      <w:pPr>
        <w:pStyle w:val="Caption"/>
      </w:pPr>
      <w:r>
        <w:drawing>
          <wp:inline xmlns:a="http://schemas.openxmlformats.org/drawingml/2006/main" xmlns:pic="http://schemas.openxmlformats.org/drawingml/2006/picture">
            <wp:extent cx="5486400" cy="7788012"/>
            <wp:docPr id="2" name="Picture 2"/>
            <wp:cNvGraphicFramePr>
              <a:graphicFrameLocks noChangeAspect="1"/>
            </wp:cNvGraphicFramePr>
            <a:graphic>
              <a:graphicData uri="http://schemas.openxmlformats.org/drawingml/2006/picture">
                <pic:pic>
                  <pic:nvPicPr>
                    <pic:cNvPr id="0" name="A 11516-2021 karta knärot.png"/>
                    <pic:cNvPicPr/>
                  </pic:nvPicPr>
                  <pic:blipFill>
                    <a:blip r:embed="rId17"/>
                    <a:stretch>
                      <a:fillRect/>
                    </a:stretch>
                  </pic:blipFill>
                  <pic:spPr>
                    <a:xfrm>
                      <a:off x="0" y="0"/>
                      <a:ext cx="5486400" cy="778801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6507641, E 565333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